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
      <w:pPr>
        <w:jc w:val="center"/>
        <w:rPr>
          <w:rFonts w:ascii="PingFangSC-Regular" w:hAnsi="PingFangSC-Regular" w:eastAsia="PingFangSC-Regular"/>
          <w:color w:val="B4001B"/>
          <w:kern w:val="0"/>
          <w:sz w:val="44"/>
        </w:rPr>
      </w:pPr>
      <w:r>
        <w:rPr>
          <w:rFonts w:hint="eastAsia" w:ascii="PingFangSC-Regular" w:hAnsi="PingFangSC-Regular" w:eastAsia="PingFangSC-Regular"/>
          <w:color w:val="B4001B"/>
          <w:kern w:val="0"/>
          <w:sz w:val="44"/>
        </w:rPr>
        <w:t>昆士兰大学寒假访学项目</w:t>
      </w:r>
    </w:p>
    <w:p/>
    <w:p>
      <w:pPr>
        <w:pStyle w:val="2"/>
        <w:widowControl/>
        <w:pBdr>
          <w:bottom w:val="single" w:color="00589C" w:sz="12" w:space="4"/>
        </w:pBdr>
        <w:spacing w:before="0" w:beforeAutospacing="0" w:line="300" w:lineRule="atLeast"/>
        <w:ind w:right="720"/>
        <w:rPr>
          <w:rFonts w:hint="default"/>
        </w:rPr>
      </w:pPr>
      <w:r>
        <w:rPr>
          <w:rStyle w:val="9"/>
          <w:b w:val="0"/>
          <w:shd w:val="clear" w:color="auto" w:fill="FFFFFF"/>
        </w:rPr>
        <w:t>大学简介</w:t>
      </w:r>
    </w:p>
    <w:p>
      <w:pPr>
        <w:ind w:firstLine="420"/>
      </w:pPr>
      <w:r>
        <w:rPr>
          <w:rFonts w:hint="eastAsia"/>
        </w:rPr>
        <w:t>昆士兰大学（The University of Queensland），简称昆大，世界百强名校和著名高等科研学府之一，澳大利亚常春藤名校联盟“八大名校”之一，始建于1910年，是昆士兰州的第一所综合型大学，也是澳大利亚最大、最有声望的大学之一。昆士兰大学The University of Queensland拥有两位诺贝尔奖得主，前澳大利亚总理Kevin Rudd（陆克文）和前国防部长Peter Gration都是昆大校友。昆士兰大学在2</w:t>
      </w:r>
      <w:r>
        <w:t>023</w:t>
      </w:r>
      <w:r>
        <w:rPr>
          <w:rFonts w:hint="eastAsia"/>
        </w:rPr>
        <w:t>US NEWS世界大学排名</w:t>
      </w:r>
      <w:r>
        <w:t>36</w:t>
      </w:r>
      <w:r>
        <w:rPr>
          <w:rFonts w:hint="eastAsia"/>
        </w:rPr>
        <w:t>名，2</w:t>
      </w:r>
      <w:r>
        <w:t>023</w:t>
      </w:r>
      <w:r>
        <w:rPr>
          <w:rFonts w:hint="eastAsia"/>
        </w:rPr>
        <w:t>QS世界大学排名第</w:t>
      </w:r>
      <w:r>
        <w:t>50</w:t>
      </w:r>
      <w:r>
        <w:rPr>
          <w:rFonts w:hint="eastAsia"/>
        </w:rPr>
        <w:t>位。昆士兰大学位于澳洲第三大城市布里斯班（2</w:t>
      </w:r>
      <w:r>
        <w:t>032</w:t>
      </w:r>
      <w:r>
        <w:rPr>
          <w:rFonts w:hint="eastAsia"/>
        </w:rPr>
        <w:t>年奥运会主办城市），布里斯班在2</w:t>
      </w:r>
      <w:r>
        <w:t>021</w:t>
      </w:r>
      <w:r>
        <w:rPr>
          <w:rFonts w:hint="eastAsia"/>
        </w:rPr>
        <w:t>年世界宜居城市排行榜中第十位，全年晴天超过3</w:t>
      </w:r>
      <w:r>
        <w:t>00</w:t>
      </w:r>
      <w:r>
        <w:rPr>
          <w:rFonts w:hint="eastAsia"/>
        </w:rPr>
        <w:t>天，平均气温1</w:t>
      </w:r>
      <w:r>
        <w:t>2-28</w:t>
      </w:r>
      <w:r>
        <w:rPr>
          <w:rFonts w:hint="eastAsia"/>
        </w:rPr>
        <w:t>度。昆士兰大学有三个校区：圣卢西亚、加顿校区、赫斯顿校区。</w:t>
      </w:r>
    </w:p>
    <w:p>
      <w:pPr>
        <w:ind w:firstLine="420"/>
      </w:pPr>
    </w:p>
    <w:p>
      <w:r>
        <w:rPr>
          <w:rFonts w:hint="eastAsia"/>
          <w:sz w:val="24"/>
        </w:rPr>
        <w:drawing>
          <wp:inline distT="0" distB="0" distL="0" distR="0">
            <wp:extent cx="6553200" cy="3318510"/>
            <wp:effectExtent l="0" t="0" r="0" b="0"/>
            <wp:docPr id="6" name="图片 2" descr="C:\Users\peter\Desktop\1.jpg1"/>
            <wp:cNvGraphicFramePr/>
            <a:graphic xmlns:a="http://schemas.openxmlformats.org/drawingml/2006/main">
              <a:graphicData uri="http://schemas.openxmlformats.org/drawingml/2006/picture">
                <pic:pic xmlns:pic="http://schemas.openxmlformats.org/drawingml/2006/picture">
                  <pic:nvPicPr>
                    <pic:cNvPr id="6" name="图片 2" descr="C:\Users\peter\Desktop\1.jpg1"/>
                    <pic:cNvPicPr/>
                  </pic:nvPicPr>
                  <pic:blipFill>
                    <a:blip r:embed="rId10">
                      <a:extLst>
                        <a:ext uri="{28A0092B-C50C-407E-A947-70E740481C1C}">
                          <a14:useLocalDpi xmlns:a14="http://schemas.microsoft.com/office/drawing/2010/main" val="0"/>
                        </a:ext>
                      </a:extLst>
                    </a:blip>
                    <a:srcRect/>
                    <a:stretch>
                      <a:fillRect/>
                    </a:stretch>
                  </pic:blipFill>
                  <pic:spPr>
                    <a:xfrm>
                      <a:off x="0" y="0"/>
                      <a:ext cx="6560949" cy="3322858"/>
                    </a:xfrm>
                    <a:prstGeom prst="rect">
                      <a:avLst/>
                    </a:prstGeom>
                    <a:noFill/>
                    <a:ln>
                      <a:noFill/>
                    </a:ln>
                  </pic:spPr>
                </pic:pic>
              </a:graphicData>
            </a:graphic>
          </wp:inline>
        </w:drawing>
      </w:r>
    </w:p>
    <w:p/>
    <w:p>
      <w:pPr>
        <w:pStyle w:val="2"/>
        <w:widowControl/>
        <w:pBdr>
          <w:bottom w:val="single" w:color="00589C" w:sz="12" w:space="4"/>
        </w:pBdr>
        <w:spacing w:before="0" w:beforeAutospacing="0" w:line="300" w:lineRule="atLeast"/>
        <w:ind w:right="720"/>
        <w:rPr>
          <w:rFonts w:hint="default"/>
        </w:rPr>
      </w:pPr>
      <w:r>
        <w:rPr>
          <w:rStyle w:val="9"/>
          <w:b w:val="0"/>
          <w:shd w:val="clear" w:color="auto" w:fill="FFFFFF"/>
        </w:rPr>
        <w:t>学校排名</w:t>
      </w:r>
    </w:p>
    <w:p>
      <w:r>
        <w:rPr>
          <w:rFonts w:hint="eastAsia"/>
        </w:rPr>
        <w:t>2</w:t>
      </w:r>
      <w:r>
        <w:t>023U</w:t>
      </w:r>
      <w:r>
        <w:rPr>
          <w:rFonts w:hint="eastAsia"/>
        </w:rPr>
        <w:t>.</w:t>
      </w:r>
      <w:r>
        <w:t>S.News</w:t>
      </w:r>
      <w:r>
        <w:rPr>
          <w:rFonts w:hint="eastAsia"/>
        </w:rPr>
        <w:t>排名3</w:t>
      </w:r>
      <w:r>
        <w:t>6</w:t>
      </w:r>
    </w:p>
    <w:p>
      <w:r>
        <w:rPr>
          <w:rFonts w:hint="eastAsia"/>
        </w:rPr>
        <w:t>2</w:t>
      </w:r>
      <w:r>
        <w:t>024QS</w:t>
      </w:r>
      <w:r>
        <w:rPr>
          <w:rFonts w:hint="eastAsia"/>
        </w:rPr>
        <w:t xml:space="preserve">排名 </w:t>
      </w:r>
      <w:r>
        <w:t>43</w:t>
      </w:r>
    </w:p>
    <w:p/>
    <w:p>
      <w:pPr>
        <w:pStyle w:val="2"/>
        <w:widowControl/>
        <w:pBdr>
          <w:bottom w:val="single" w:color="00589C" w:sz="12" w:space="4"/>
        </w:pBdr>
        <w:spacing w:before="0" w:beforeAutospacing="0" w:line="300" w:lineRule="atLeast"/>
        <w:ind w:right="720"/>
        <w:rPr>
          <w:rFonts w:hint="default"/>
        </w:rPr>
      </w:pPr>
      <w:r>
        <w:rPr>
          <w:rStyle w:val="9"/>
          <w:b w:val="0"/>
          <w:shd w:val="clear" w:color="auto" w:fill="FFFFFF"/>
        </w:rPr>
        <w:t>地理位置</w:t>
      </w:r>
    </w:p>
    <w:p>
      <w:r>
        <w:rPr>
          <w:rFonts w:hint="eastAsia"/>
        </w:rPr>
        <w:t>澳大利亚  布里斯班（2</w:t>
      </w:r>
      <w:r>
        <w:t>032</w:t>
      </w:r>
      <w:r>
        <w:rPr>
          <w:rFonts w:hint="eastAsia"/>
        </w:rPr>
        <w:t>奥运会主办城市）</w:t>
      </w:r>
    </w:p>
    <w:p>
      <w:pPr>
        <w:spacing w:line="240" w:lineRule="atLeast"/>
      </w:pPr>
      <w:r>
        <w:drawing>
          <wp:inline distT="0" distB="0" distL="0" distR="0">
            <wp:extent cx="6621780" cy="3632200"/>
            <wp:effectExtent l="0" t="0" r="0" b="0"/>
            <wp:docPr id="11451452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45211"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768720" cy="3712655"/>
                    </a:xfrm>
                    <a:prstGeom prst="rect">
                      <a:avLst/>
                    </a:prstGeom>
                  </pic:spPr>
                </pic:pic>
              </a:graphicData>
            </a:graphic>
          </wp:inline>
        </w:drawing>
      </w:r>
    </w:p>
    <w:p>
      <w:pPr>
        <w:spacing w:line="240" w:lineRule="atLeast"/>
      </w:pPr>
    </w:p>
    <w:p>
      <w:pPr>
        <w:pStyle w:val="2"/>
        <w:widowControl/>
        <w:pBdr>
          <w:bottom w:val="single" w:color="00589C" w:sz="12" w:space="4"/>
        </w:pBdr>
        <w:spacing w:before="0" w:beforeAutospacing="0" w:line="300" w:lineRule="atLeast"/>
        <w:ind w:right="720"/>
        <w:rPr>
          <w:rFonts w:hint="default"/>
        </w:rPr>
      </w:pPr>
      <w:r>
        <w:rPr>
          <w:rStyle w:val="9"/>
          <w:b w:val="0"/>
          <w:shd w:val="clear" w:color="auto" w:fill="FFFFFF"/>
        </w:rPr>
        <w:t>项目日程：</w:t>
      </w:r>
    </w:p>
    <w:tbl>
      <w:tblPr>
        <w:tblStyle w:val="6"/>
        <w:tblpPr w:leftFromText="180" w:rightFromText="180" w:vertAnchor="text" w:horzAnchor="page" w:tblpX="1848" w:tblpY="38"/>
        <w:tblOverlap w:val="never"/>
        <w:tblW w:w="0" w:type="auto"/>
        <w:tblInd w:w="0" w:type="dxa"/>
        <w:tblLayout w:type="fixed"/>
        <w:tblCellMar>
          <w:top w:w="15" w:type="dxa"/>
          <w:left w:w="15" w:type="dxa"/>
          <w:bottom w:w="15" w:type="dxa"/>
          <w:right w:w="15" w:type="dxa"/>
        </w:tblCellMar>
      </w:tblPr>
      <w:tblGrid>
        <w:gridCol w:w="1953"/>
        <w:gridCol w:w="3159"/>
        <w:gridCol w:w="2268"/>
      </w:tblGrid>
      <w:tr>
        <w:tblPrEx>
          <w:tblCellMar>
            <w:top w:w="15" w:type="dxa"/>
            <w:left w:w="15" w:type="dxa"/>
            <w:bottom w:w="15" w:type="dxa"/>
            <w:right w:w="15" w:type="dxa"/>
          </w:tblCellMar>
        </w:tblPrEx>
        <w:tc>
          <w:tcPr>
            <w:tcW w:w="1953"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ascii="微软雅黑" w:hAnsi="微软雅黑" w:eastAsia="微软雅黑" w:cs="微软雅黑"/>
                <w:color w:val="3E3E3E"/>
                <w:kern w:val="0"/>
                <w:sz w:val="18"/>
                <w:szCs w:val="18"/>
                <w:lang w:bidi="ar"/>
              </w:rPr>
            </w:pPr>
            <w:r>
              <w:rPr>
                <w:rFonts w:hint="eastAsia" w:ascii="微软雅黑" w:hAnsi="微软雅黑" w:eastAsia="微软雅黑" w:cs="微软雅黑"/>
                <w:color w:val="3E3E3E"/>
                <w:kern w:val="0"/>
                <w:sz w:val="18"/>
                <w:szCs w:val="18"/>
                <w:lang w:bidi="ar"/>
              </w:rPr>
              <w:t>团别</w:t>
            </w:r>
          </w:p>
        </w:tc>
        <w:tc>
          <w:tcPr>
            <w:tcW w:w="3159"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ascii="微软雅黑" w:hAnsi="微软雅黑" w:eastAsia="微软雅黑" w:cs="微软雅黑"/>
                <w:color w:val="3E3E3E"/>
                <w:sz w:val="24"/>
              </w:rPr>
            </w:pPr>
            <w:r>
              <w:rPr>
                <w:rFonts w:hint="eastAsia" w:ascii="微软雅黑" w:hAnsi="微软雅黑" w:eastAsia="微软雅黑" w:cs="微软雅黑"/>
                <w:color w:val="3E3E3E"/>
                <w:kern w:val="0"/>
                <w:sz w:val="18"/>
                <w:szCs w:val="18"/>
                <w:lang w:bidi="ar"/>
              </w:rPr>
              <w:t>课程时间</w:t>
            </w:r>
          </w:p>
        </w:tc>
        <w:tc>
          <w:tcPr>
            <w:tcW w:w="2268"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ascii="微软雅黑" w:hAnsi="微软雅黑" w:eastAsia="微软雅黑" w:cs="微软雅黑"/>
                <w:color w:val="3E3E3E"/>
                <w:kern w:val="0"/>
                <w:sz w:val="18"/>
                <w:szCs w:val="18"/>
                <w:lang w:bidi="ar"/>
              </w:rPr>
            </w:pPr>
            <w:r>
              <w:rPr>
                <w:rFonts w:hint="eastAsia" w:ascii="微软雅黑" w:hAnsi="微软雅黑" w:eastAsia="微软雅黑" w:cs="微软雅黑"/>
                <w:color w:val="3E3E3E"/>
                <w:kern w:val="0"/>
                <w:sz w:val="18"/>
                <w:szCs w:val="18"/>
                <w:lang w:bidi="ar"/>
              </w:rPr>
              <w:t>报名截止日期</w:t>
            </w:r>
          </w:p>
        </w:tc>
      </w:tr>
      <w:tr>
        <w:tblPrEx>
          <w:tblCellMar>
            <w:top w:w="15" w:type="dxa"/>
            <w:left w:w="15" w:type="dxa"/>
            <w:bottom w:w="15" w:type="dxa"/>
            <w:right w:w="15" w:type="dxa"/>
          </w:tblCellMar>
        </w:tblPrEx>
        <w:tc>
          <w:tcPr>
            <w:tcW w:w="1953"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ascii="微软雅黑" w:hAnsi="微软雅黑" w:eastAsia="微软雅黑" w:cs="微软雅黑"/>
                <w:color w:val="3E3E3E"/>
                <w:kern w:val="0"/>
                <w:sz w:val="18"/>
                <w:szCs w:val="18"/>
                <w:lang w:bidi="ar"/>
              </w:rPr>
            </w:pPr>
            <w:r>
              <w:rPr>
                <w:rFonts w:hint="eastAsia" w:ascii="微软雅黑" w:hAnsi="微软雅黑" w:eastAsia="微软雅黑" w:cs="微软雅黑"/>
                <w:color w:val="3E3E3E"/>
                <w:kern w:val="0"/>
                <w:sz w:val="18"/>
                <w:szCs w:val="18"/>
                <w:lang w:bidi="ar"/>
              </w:rPr>
              <w:t>寒假</w:t>
            </w:r>
          </w:p>
        </w:tc>
        <w:tc>
          <w:tcPr>
            <w:tcW w:w="3159"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hint="eastAsia"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2</w:t>
            </w:r>
            <w:r>
              <w:rPr>
                <w:rFonts w:ascii="微软雅黑" w:hAnsi="微软雅黑" w:eastAsia="微软雅黑" w:cs="微软雅黑"/>
                <w:kern w:val="0"/>
                <w:sz w:val="18"/>
                <w:szCs w:val="18"/>
                <w:lang w:bidi="ar"/>
              </w:rPr>
              <w:t>024.1.22-2.2</w:t>
            </w:r>
          </w:p>
        </w:tc>
        <w:tc>
          <w:tcPr>
            <w:tcW w:w="2268" w:type="dxa"/>
            <w:tcBorders>
              <w:top w:val="single" w:color="DDDDDD" w:sz="6" w:space="0"/>
              <w:left w:val="single" w:color="DDDDDD" w:sz="6" w:space="0"/>
              <w:bottom w:val="single" w:color="DDDDDD" w:sz="6" w:space="0"/>
              <w:right w:val="single" w:color="DDDDDD" w:sz="6" w:space="0"/>
            </w:tcBorders>
            <w:tcMar>
              <w:top w:w="75" w:type="dxa"/>
              <w:left w:w="150" w:type="dxa"/>
              <w:bottom w:w="75" w:type="dxa"/>
              <w:right w:w="150" w:type="dxa"/>
            </w:tcMar>
            <w:vAlign w:val="center"/>
          </w:tcPr>
          <w:p>
            <w:pPr>
              <w:widowControl/>
              <w:wordWrap w:val="0"/>
              <w:spacing w:line="24" w:lineRule="atLeast"/>
              <w:jc w:val="center"/>
              <w:rPr>
                <w:rFonts w:ascii="微软雅黑" w:hAnsi="微软雅黑" w:eastAsia="微软雅黑" w:cs="微软雅黑"/>
                <w:kern w:val="0"/>
                <w:sz w:val="18"/>
                <w:szCs w:val="18"/>
                <w:lang w:bidi="ar"/>
              </w:rPr>
            </w:pPr>
            <w:r>
              <w:rPr>
                <w:rFonts w:hint="eastAsia" w:ascii="微软雅黑" w:hAnsi="微软雅黑" w:eastAsia="微软雅黑" w:cs="微软雅黑"/>
                <w:kern w:val="0"/>
                <w:sz w:val="18"/>
                <w:szCs w:val="18"/>
                <w:lang w:bidi="ar"/>
              </w:rPr>
              <w:t>202</w:t>
            </w:r>
            <w:r>
              <w:rPr>
                <w:rFonts w:ascii="微软雅黑" w:hAnsi="微软雅黑" w:eastAsia="微软雅黑" w:cs="微软雅黑"/>
                <w:kern w:val="0"/>
                <w:sz w:val="18"/>
                <w:szCs w:val="18"/>
                <w:lang w:bidi="ar"/>
              </w:rPr>
              <w:t>3</w:t>
            </w:r>
            <w:r>
              <w:rPr>
                <w:rFonts w:hint="eastAsia" w:ascii="微软雅黑" w:hAnsi="微软雅黑" w:eastAsia="微软雅黑" w:cs="微软雅黑"/>
                <w:kern w:val="0"/>
                <w:sz w:val="18"/>
                <w:szCs w:val="18"/>
                <w:lang w:bidi="ar"/>
              </w:rPr>
              <w:t>.</w:t>
            </w:r>
            <w:r>
              <w:rPr>
                <w:rFonts w:ascii="微软雅黑" w:hAnsi="微软雅黑" w:eastAsia="微软雅黑" w:cs="微软雅黑"/>
                <w:kern w:val="0"/>
                <w:sz w:val="18"/>
                <w:szCs w:val="18"/>
                <w:lang w:bidi="ar"/>
              </w:rPr>
              <w:t>12</w:t>
            </w:r>
            <w:r>
              <w:rPr>
                <w:rFonts w:hint="eastAsia" w:ascii="微软雅黑" w:hAnsi="微软雅黑" w:eastAsia="微软雅黑" w:cs="微软雅黑"/>
                <w:kern w:val="0"/>
                <w:sz w:val="18"/>
                <w:szCs w:val="18"/>
                <w:lang w:bidi="ar"/>
              </w:rPr>
              <w:t>.</w:t>
            </w:r>
            <w:r>
              <w:rPr>
                <w:rFonts w:ascii="微软雅黑" w:hAnsi="微软雅黑" w:eastAsia="微软雅黑" w:cs="微软雅黑"/>
                <w:kern w:val="0"/>
                <w:sz w:val="18"/>
                <w:szCs w:val="18"/>
                <w:lang w:bidi="ar"/>
              </w:rPr>
              <w:t>25</w:t>
            </w:r>
          </w:p>
        </w:tc>
      </w:tr>
    </w:tbl>
    <w:p/>
    <w:p/>
    <w:p/>
    <w:p/>
    <w:p>
      <w:r>
        <w:drawing>
          <wp:inline distT="0" distB="0" distL="0" distR="0">
            <wp:extent cx="6687820" cy="3894455"/>
            <wp:effectExtent l="0" t="0" r="5080" b="4445"/>
            <wp:docPr id="1548310580" name="图片 3" descr="一群人正在聊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10580" name="图片 3" descr="一群人正在聊天&#10;&#10;描述已自动生成"/>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760678" cy="3937096"/>
                    </a:xfrm>
                    <a:prstGeom prst="rect">
                      <a:avLst/>
                    </a:prstGeom>
                  </pic:spPr>
                </pic:pic>
              </a:graphicData>
            </a:graphic>
          </wp:inline>
        </w:drawing>
      </w:r>
    </w:p>
    <w:p>
      <w:pPr>
        <w:pStyle w:val="2"/>
        <w:widowControl/>
        <w:pBdr>
          <w:bottom w:val="single" w:color="00589C" w:sz="12" w:space="4"/>
        </w:pBdr>
        <w:spacing w:before="0" w:beforeAutospacing="0" w:line="300" w:lineRule="atLeast"/>
        <w:ind w:right="720"/>
        <w:rPr>
          <w:rFonts w:hint="default"/>
        </w:rPr>
      </w:pPr>
      <w:r>
        <w:rPr>
          <w:rStyle w:val="9"/>
          <w:b w:val="0"/>
          <w:shd w:val="clear" w:color="auto" w:fill="FFFFFF"/>
        </w:rPr>
        <w:t>项目特色：</w:t>
      </w:r>
    </w:p>
    <w:p>
      <w:pPr>
        <w:widowControl/>
        <w:jc w:val="left"/>
        <w:rPr>
          <w:rFonts w:ascii="Arial" w:hAnsi="Arial" w:cs="Arial"/>
          <w:color w:val="222222"/>
          <w:kern w:val="0"/>
          <w:szCs w:val="21"/>
        </w:rPr>
      </w:pPr>
      <w:r>
        <w:rPr>
          <w:rFonts w:hint="eastAsia" w:ascii="Arial" w:hAnsi="Arial" w:cs="Arial"/>
          <w:color w:val="222222"/>
          <w:kern w:val="0"/>
          <w:szCs w:val="21"/>
        </w:rPr>
        <w:t>1、在昆士兰大学主校区（圣卢西亚）学习交流，位于1</w:t>
      </w:r>
      <w:r>
        <w:rPr>
          <w:rFonts w:ascii="Arial" w:hAnsi="Arial" w:cs="Arial"/>
          <w:color w:val="222222"/>
          <w:kern w:val="0"/>
          <w:szCs w:val="21"/>
        </w:rPr>
        <w:t>14</w:t>
      </w:r>
      <w:r>
        <w:rPr>
          <w:rFonts w:hint="eastAsia" w:ascii="Arial" w:hAnsi="Arial" w:cs="Arial"/>
          <w:color w:val="222222"/>
          <w:kern w:val="0"/>
          <w:szCs w:val="21"/>
        </w:rPr>
        <w:t>公顷的布里斯班河沿岸土地上，是雄伟的砂岩建筑和当代建筑、园景花园和湖泊的充满活力的组合。圣卢西亚校区距离布里斯班市中心只有7公里，是学习、工作或参观的首选。</w:t>
      </w:r>
    </w:p>
    <w:p>
      <w:pPr>
        <w:widowControl/>
        <w:jc w:val="left"/>
        <w:rPr>
          <w:rFonts w:ascii="Arial" w:hAnsi="Arial" w:cs="Arial"/>
          <w:color w:val="222222"/>
          <w:kern w:val="0"/>
          <w:szCs w:val="21"/>
        </w:rPr>
      </w:pPr>
      <w:r>
        <w:rPr>
          <w:rFonts w:hint="eastAsia" w:ascii="Arial" w:hAnsi="Arial" w:cs="Arial"/>
          <w:color w:val="222222"/>
          <w:kern w:val="0"/>
          <w:szCs w:val="21"/>
        </w:rPr>
        <w:t>2、</w:t>
      </w:r>
      <w:r>
        <w:rPr>
          <w:rFonts w:hint="eastAsia"/>
        </w:rPr>
        <w:t>注册成为昆士兰大学访学学生，获得学生证，使用学校图书馆等校内公共资源，乘坐公共交通享受当地学生折扣待遇。</w:t>
      </w:r>
    </w:p>
    <w:p>
      <w:pPr>
        <w:widowControl/>
        <w:jc w:val="left"/>
        <w:rPr>
          <w:rFonts w:ascii="宋体" w:hAnsi="宋体" w:cs="宋体"/>
          <w:kern w:val="0"/>
          <w:szCs w:val="21"/>
        </w:rPr>
      </w:pPr>
      <w:r>
        <w:rPr>
          <w:rFonts w:ascii="Arial" w:hAnsi="Arial" w:cs="Arial"/>
          <w:color w:val="222222"/>
          <w:kern w:val="0"/>
          <w:szCs w:val="21"/>
        </w:rPr>
        <w:t>3</w:t>
      </w:r>
      <w:r>
        <w:rPr>
          <w:rFonts w:hint="eastAsia" w:ascii="Arial" w:hAnsi="Arial" w:cs="Arial"/>
          <w:color w:val="222222"/>
          <w:kern w:val="0"/>
          <w:szCs w:val="21"/>
        </w:rPr>
        <w:t>、每周三天上午英语文化课程，下午学生可资源参加</w:t>
      </w:r>
      <w:r>
        <w:rPr>
          <w:rFonts w:hint="eastAsia" w:ascii="宋体" w:hAnsi="宋体" w:cs="宋体"/>
          <w:kern w:val="0"/>
          <w:szCs w:val="21"/>
        </w:rPr>
        <w:t>昆士兰大学组织的各类文化体验活动，如合唱团、健身、烹饪、绘画、羽毛球、足球、篮球等。</w:t>
      </w:r>
    </w:p>
    <w:p>
      <w:pPr>
        <w:widowControl/>
        <w:jc w:val="left"/>
        <w:rPr>
          <w:rFonts w:ascii="Arial" w:hAnsi="Arial" w:cs="Arial"/>
          <w:color w:val="222222"/>
          <w:kern w:val="0"/>
          <w:szCs w:val="21"/>
        </w:rPr>
      </w:pPr>
      <w:r>
        <w:rPr>
          <w:rFonts w:hint="eastAsia" w:ascii="宋体" w:hAnsi="宋体" w:cs="宋体"/>
          <w:kern w:val="0"/>
          <w:szCs w:val="21"/>
        </w:rPr>
        <w:t>4、示范行程：</w:t>
      </w:r>
    </w:p>
    <w:p>
      <w:r>
        <w:drawing>
          <wp:inline distT="0" distB="0" distL="0" distR="0">
            <wp:extent cx="6645910" cy="5186045"/>
            <wp:effectExtent l="0" t="0" r="0" b="0"/>
            <wp:docPr id="1390870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7050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186045"/>
                    </a:xfrm>
                    <a:prstGeom prst="rect">
                      <a:avLst/>
                    </a:prstGeom>
                  </pic:spPr>
                </pic:pic>
              </a:graphicData>
            </a:graphic>
          </wp:inline>
        </w:drawing>
      </w:r>
    </w:p>
    <w:p/>
    <w:p/>
    <w:p>
      <w:r>
        <w:rPr>
          <w:rFonts w:hint="eastAsia" w:ascii="宋体" w:hAnsi="宋体" w:cs="宋体"/>
          <w:kern w:val="0"/>
          <w:szCs w:val="21"/>
        </w:rPr>
        <w:drawing>
          <wp:inline distT="0" distB="0" distL="0" distR="0">
            <wp:extent cx="6645910" cy="2790190"/>
            <wp:effectExtent l="0" t="0" r="0" b="3810"/>
            <wp:docPr id="12" name="图片 12" descr="一群人坐在桌子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群人坐在桌子前&#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5910" cy="2790190"/>
                    </a:xfrm>
                    <a:prstGeom prst="rect">
                      <a:avLst/>
                    </a:prstGeom>
                  </pic:spPr>
                </pic:pic>
              </a:graphicData>
            </a:graphic>
          </wp:inline>
        </w:drawing>
      </w:r>
    </w:p>
    <w:p>
      <w:pPr>
        <w:pStyle w:val="2"/>
        <w:widowControl/>
        <w:pBdr>
          <w:bottom w:val="single" w:color="00589C" w:sz="12" w:space="4"/>
        </w:pBdr>
        <w:spacing w:before="0" w:beforeAutospacing="0" w:line="300" w:lineRule="atLeast"/>
        <w:ind w:right="720"/>
        <w:rPr>
          <w:rFonts w:hint="default" w:cs="宋体"/>
          <w:color w:val="262626"/>
          <w:sz w:val="21"/>
          <w:szCs w:val="21"/>
        </w:rPr>
      </w:pPr>
      <w:r>
        <w:rPr>
          <w:rStyle w:val="9"/>
          <w:b w:val="0"/>
          <w:shd w:val="clear" w:color="auto" w:fill="FFFFFF"/>
        </w:rPr>
        <w:t>项目须知：</w:t>
      </w:r>
    </w:p>
    <w:p>
      <w:pPr>
        <w:jc w:val="left"/>
        <w:rPr>
          <w:rFonts w:ascii="宋体" w:hAnsi="宋体" w:cs="宋体"/>
          <w:color w:val="262626"/>
          <w:kern w:val="0"/>
          <w:szCs w:val="21"/>
        </w:rPr>
      </w:pPr>
      <w:r>
        <w:rPr>
          <w:rFonts w:hint="eastAsia" w:ascii="宋体" w:hAnsi="宋体" w:cs="宋体"/>
          <w:b/>
          <w:bCs/>
          <w:color w:val="262626"/>
          <w:kern w:val="0"/>
          <w:szCs w:val="21"/>
        </w:rPr>
        <w:t>住宿及餐饮：</w:t>
      </w:r>
      <w:r>
        <w:rPr>
          <w:rFonts w:hint="eastAsia" w:ascii="宋体" w:hAnsi="宋体" w:cs="宋体"/>
          <w:color w:val="262626"/>
          <w:kern w:val="0"/>
          <w:szCs w:val="21"/>
        </w:rPr>
        <w:t xml:space="preserve"> </w:t>
      </w:r>
    </w:p>
    <w:p>
      <w:pPr>
        <w:jc w:val="left"/>
        <w:rPr>
          <w:rFonts w:ascii="Arial" w:hAnsi="Arial" w:cs="Arial"/>
          <w:color w:val="222222"/>
          <w:szCs w:val="21"/>
          <w:shd w:val="clear" w:color="auto" w:fill="FFFFFF"/>
        </w:rPr>
      </w:pPr>
      <w:r>
        <w:rPr>
          <w:rFonts w:ascii="Arial" w:hAnsi="Arial" w:cs="Arial"/>
          <w:color w:val="222222"/>
          <w:szCs w:val="21"/>
          <w:shd w:val="clear" w:color="auto" w:fill="FFFFFF"/>
        </w:rPr>
        <w:t>【住宿】</w:t>
      </w:r>
    </w:p>
    <w:p>
      <w:pPr>
        <w:jc w:val="left"/>
        <w:rPr>
          <w:rFonts w:ascii="Arial" w:hAnsi="Arial" w:cs="Arial"/>
          <w:color w:val="222222"/>
          <w:szCs w:val="21"/>
          <w:shd w:val="clear" w:color="auto" w:fill="FFFFFF"/>
        </w:rPr>
      </w:pPr>
      <w:r>
        <w:rPr>
          <w:rFonts w:ascii="Arial" w:hAnsi="Arial" w:cs="Arial"/>
          <w:color w:val="222222"/>
          <w:szCs w:val="21"/>
          <w:shd w:val="clear" w:color="auto" w:fill="FFFFFF"/>
        </w:rPr>
        <w:t>1</w:t>
      </w:r>
      <w:r>
        <w:rPr>
          <w:rFonts w:hint="eastAsia" w:ascii="Arial" w:hAnsi="Arial" w:cs="Arial"/>
          <w:color w:val="222222"/>
          <w:szCs w:val="21"/>
          <w:shd w:val="clear" w:color="auto" w:fill="FFFFFF"/>
        </w:rPr>
        <w:t>、寄宿家庭：</w:t>
      </w:r>
      <w:r>
        <w:rPr>
          <w:rFonts w:ascii="Arial" w:hAnsi="Arial" w:cs="Arial"/>
          <w:color w:val="222222"/>
          <w:szCs w:val="21"/>
          <w:shd w:val="clear" w:color="auto" w:fill="FFFFFF"/>
        </w:rPr>
        <w:t>学生将入住寄宿家庭，充分感受本地文化的同时，提高英语实用沟通能力。寄宿家庭配置：带床的私人卧室，书桌，椅子和衣橱；进入家庭的所有共享区域；</w:t>
      </w:r>
    </w:p>
    <w:p>
      <w:pPr>
        <w:jc w:val="left"/>
        <w:rPr>
          <w:rFonts w:ascii="Arial" w:hAnsi="Arial" w:cs="Arial"/>
          <w:color w:val="222222"/>
          <w:szCs w:val="21"/>
          <w:shd w:val="clear" w:color="auto" w:fill="FFFFFF"/>
        </w:rPr>
      </w:pPr>
      <w:r>
        <w:rPr>
          <w:rFonts w:ascii="Arial" w:hAnsi="Arial" w:cs="Arial"/>
          <w:color w:val="222222"/>
          <w:szCs w:val="21"/>
          <w:shd w:val="clear" w:color="auto" w:fill="FFFFFF"/>
        </w:rPr>
        <w:t>【餐饮】</w:t>
      </w:r>
      <w:r>
        <w:rPr>
          <w:rFonts w:hint="eastAsia" w:ascii="Arial" w:hAnsi="Arial" w:cs="Arial"/>
          <w:color w:val="222222"/>
          <w:szCs w:val="21"/>
          <w:shd w:val="clear" w:color="auto" w:fill="FFFFFF"/>
        </w:rPr>
        <w:t>寄宿家庭提供早餐</w:t>
      </w:r>
      <w:r>
        <w:rPr>
          <w:rFonts w:ascii="Arial" w:hAnsi="Arial" w:cs="Arial"/>
          <w:color w:val="222222"/>
          <w:szCs w:val="21"/>
          <w:shd w:val="clear" w:color="auto" w:fill="FFFFFF"/>
        </w:rPr>
        <w:t>；基本的互联网。</w:t>
      </w:r>
    </w:p>
    <w:p>
      <w:pPr>
        <w:jc w:val="left"/>
        <w:rPr>
          <w:rFonts w:ascii="宋体" w:hAnsi="宋体" w:cs="宋体"/>
          <w:color w:val="262626"/>
          <w:kern w:val="0"/>
          <w:szCs w:val="21"/>
        </w:rPr>
      </w:pPr>
      <w:r>
        <w:rPr>
          <w:rFonts w:ascii="宋体" w:hAnsi="宋体" w:cs="宋体"/>
          <w:color w:val="262626"/>
          <w:kern w:val="0"/>
          <w:szCs w:val="21"/>
        </w:rPr>
        <w:drawing>
          <wp:inline distT="0" distB="0" distL="0" distR="0">
            <wp:extent cx="3132455" cy="216281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688" cy="2217165"/>
                    </a:xfrm>
                    <a:prstGeom prst="rect">
                      <a:avLst/>
                    </a:prstGeom>
                  </pic:spPr>
                </pic:pic>
              </a:graphicData>
            </a:graphic>
          </wp:inline>
        </w:drawing>
      </w:r>
      <w:r>
        <w:rPr>
          <w:rFonts w:hint="eastAsia" w:ascii="宋体" w:hAnsi="宋体" w:cs="宋体"/>
          <w:b/>
          <w:bCs/>
          <w:color w:val="262626"/>
          <w:kern w:val="0"/>
          <w:szCs w:val="21"/>
          <w:lang w:val="zh-CN"/>
        </w:rPr>
        <w:drawing>
          <wp:inline distT="0" distB="0" distL="0" distR="0">
            <wp:extent cx="3427095" cy="2161540"/>
            <wp:effectExtent l="0" t="0" r="1905" b="0"/>
            <wp:docPr id="7" name="图片 7" descr="女人在切蛋糕&#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女人在切蛋糕&#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9877" cy="2219682"/>
                    </a:xfrm>
                    <a:prstGeom prst="rect">
                      <a:avLst/>
                    </a:prstGeom>
                  </pic:spPr>
                </pic:pic>
              </a:graphicData>
            </a:graphic>
          </wp:inline>
        </w:drawing>
      </w:r>
    </w:p>
    <w:p>
      <w:pPr>
        <w:jc w:val="left"/>
        <w:rPr>
          <w:rFonts w:ascii="宋体" w:hAnsi="宋体" w:cs="宋体"/>
          <w:b/>
          <w:bCs/>
          <w:color w:val="262626"/>
          <w:kern w:val="0"/>
          <w:szCs w:val="21"/>
        </w:rPr>
      </w:pPr>
    </w:p>
    <w:p>
      <w:pPr>
        <w:jc w:val="left"/>
        <w:rPr>
          <w:rFonts w:ascii="Arial" w:hAnsi="Arial" w:cs="Arial"/>
          <w:color w:val="222222"/>
          <w:szCs w:val="21"/>
          <w:shd w:val="clear" w:color="auto" w:fill="FFFFFF"/>
        </w:rPr>
      </w:pPr>
      <w:r>
        <w:rPr>
          <w:rFonts w:hint="eastAsia" w:ascii="Arial" w:hAnsi="Arial" w:cs="Arial"/>
          <w:color w:val="222222"/>
          <w:szCs w:val="21"/>
          <w:shd w:val="clear" w:color="auto" w:fill="FFFFFF"/>
        </w:rPr>
        <w:t>2、校外公寓住宿：</w:t>
      </w:r>
    </w:p>
    <w:p>
      <w:pPr>
        <w:jc w:val="left"/>
        <w:rPr>
          <w:rFonts w:ascii="宋体" w:hAnsi="宋体" w:cs="宋体"/>
          <w:color w:val="262626"/>
          <w:kern w:val="0"/>
          <w:szCs w:val="21"/>
        </w:rPr>
      </w:pPr>
      <w:r>
        <w:rPr>
          <w:rFonts w:hint="eastAsia" w:ascii="宋体" w:hAnsi="宋体" w:cs="宋体"/>
          <w:color w:val="262626"/>
          <w:kern w:val="0"/>
          <w:szCs w:val="21"/>
        </w:rPr>
        <w:t>UQC与Oaks Group达成独家协议，Oaks Group在布里斯班市中心拥有公寓式住宿和八个场地。</w:t>
      </w:r>
    </w:p>
    <w:p>
      <w:pPr>
        <w:ind w:firstLine="1890" w:firstLineChars="900"/>
        <w:jc w:val="left"/>
        <w:rPr>
          <w:rFonts w:ascii="宋体" w:hAnsi="宋体" w:cs="宋体"/>
          <w:color w:val="262626"/>
          <w:kern w:val="0"/>
          <w:szCs w:val="21"/>
        </w:rPr>
      </w:pPr>
      <w:r>
        <w:rPr>
          <w:rFonts w:hint="eastAsia" w:ascii="宋体" w:hAnsi="宋体" w:cs="宋体"/>
          <w:color w:val="262626"/>
          <w:kern w:val="0"/>
          <w:szCs w:val="21"/>
        </w:rPr>
        <w:t>学生证</w:t>
      </w:r>
      <w:r>
        <w:rPr>
          <w:rFonts w:hint="eastAsia" w:ascii="宋体" w:hAnsi="宋体" w:cs="宋体"/>
          <w:color w:val="262626"/>
          <w:kern w:val="0"/>
          <w:szCs w:val="21"/>
          <w:lang w:val="zh-CN"/>
        </w:rPr>
        <w:drawing>
          <wp:anchor distT="0" distB="0" distL="114300" distR="114300" simplePos="0" relativeHeight="251660288" behindDoc="0" locked="0" layoutInCell="1" allowOverlap="1">
            <wp:simplePos x="0" y="0"/>
            <wp:positionH relativeFrom="column">
              <wp:posOffset>3276600</wp:posOffset>
            </wp:positionH>
            <wp:positionV relativeFrom="paragraph">
              <wp:posOffset>203200</wp:posOffset>
            </wp:positionV>
            <wp:extent cx="3182620" cy="1828800"/>
            <wp:effectExtent l="0" t="0" r="5080" b="0"/>
            <wp:wrapSquare wrapText="bothSides"/>
            <wp:docPr id="15" name="图片 15" descr="电脑屏幕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脑屏幕的照片&#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2806" cy="1828800"/>
                    </a:xfrm>
                    <a:prstGeom prst="rect">
                      <a:avLst/>
                    </a:prstGeom>
                  </pic:spPr>
                </pic:pic>
              </a:graphicData>
            </a:graphic>
          </wp:anchor>
        </w:drawing>
      </w:r>
      <w:r>
        <w:rPr>
          <w:rFonts w:hint="eastAsia" w:ascii="宋体" w:hAnsi="宋体" w:cs="宋体"/>
          <w:color w:val="262626"/>
          <w:kern w:val="0"/>
          <w:szCs w:val="21"/>
          <w:lang w:val="zh-CN"/>
        </w:rPr>
        <w:drawing>
          <wp:anchor distT="0" distB="0" distL="114300" distR="114300" simplePos="0" relativeHeight="251659264" behindDoc="0" locked="0" layoutInCell="1" allowOverlap="1">
            <wp:simplePos x="0" y="0"/>
            <wp:positionH relativeFrom="column">
              <wp:posOffset>0</wp:posOffset>
            </wp:positionH>
            <wp:positionV relativeFrom="paragraph">
              <wp:posOffset>203200</wp:posOffset>
            </wp:positionV>
            <wp:extent cx="2895600" cy="1823720"/>
            <wp:effectExtent l="0" t="0" r="0" b="5080"/>
            <wp:wrapSquare wrapText="bothSides"/>
            <wp:docPr id="18" name="图片 1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10;&#10;描述已自动生成"/>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823720"/>
                    </a:xfrm>
                    <a:prstGeom prst="rect">
                      <a:avLst/>
                    </a:prstGeom>
                  </pic:spPr>
                </pic:pic>
              </a:graphicData>
            </a:graphic>
          </wp:anchor>
        </w:drawing>
      </w:r>
      <w:r>
        <w:rPr>
          <w:rFonts w:hint="eastAsia" w:ascii="宋体" w:hAnsi="宋体" w:cs="宋体"/>
          <w:color w:val="262626"/>
          <w:kern w:val="0"/>
          <w:szCs w:val="21"/>
        </w:rPr>
        <w:t xml:space="preserve">： </w:t>
      </w:r>
      <w:r>
        <w:rPr>
          <w:rFonts w:ascii="宋体" w:hAnsi="宋体" w:cs="宋体"/>
          <w:color w:val="262626"/>
          <w:kern w:val="0"/>
          <w:szCs w:val="21"/>
        </w:rPr>
        <w:t xml:space="preserve">                                          </w:t>
      </w:r>
      <w:r>
        <w:rPr>
          <w:rFonts w:hint="eastAsia" w:ascii="宋体" w:hAnsi="宋体" w:cs="宋体"/>
          <w:color w:val="262626"/>
          <w:kern w:val="0"/>
          <w:szCs w:val="21"/>
        </w:rPr>
        <w:t>学习证书；</w:t>
      </w:r>
    </w:p>
    <w:p>
      <w:pPr>
        <w:jc w:val="left"/>
        <w:rPr>
          <w:rFonts w:ascii="宋体" w:hAnsi="宋体" w:cs="宋体"/>
          <w:b/>
          <w:bCs/>
          <w:color w:val="262626"/>
          <w:kern w:val="0"/>
          <w:szCs w:val="21"/>
        </w:rPr>
      </w:pPr>
      <w:r>
        <w:rPr>
          <w:rFonts w:hint="eastAsia" w:ascii="宋体" w:hAnsi="宋体" w:cs="宋体"/>
          <w:b/>
          <w:bCs/>
          <w:color w:val="262626"/>
          <w:kern w:val="0"/>
          <w:szCs w:val="21"/>
        </w:rPr>
        <w:t>澳洲境内交通：</w:t>
      </w:r>
    </w:p>
    <w:p>
      <w:pPr>
        <w:jc w:val="left"/>
        <w:rPr>
          <w:rFonts w:ascii="宋体" w:hAnsi="宋体" w:cs="宋体"/>
          <w:color w:val="262626"/>
          <w:kern w:val="0"/>
          <w:szCs w:val="21"/>
        </w:rPr>
      </w:pPr>
      <w:r>
        <w:rPr>
          <w:rFonts w:hint="eastAsia" w:ascii="宋体" w:hAnsi="宋体" w:cs="宋体"/>
          <w:color w:val="262626"/>
          <w:kern w:val="0"/>
          <w:szCs w:val="21"/>
        </w:rPr>
        <w:t>交通费用由学生自理，学生可办理当地的公交卡以节省交通费。</w:t>
      </w:r>
    </w:p>
    <w:p>
      <w:pPr>
        <w:jc w:val="left"/>
        <w:rPr>
          <w:rFonts w:ascii="宋体" w:hAnsi="宋体" w:cs="宋体"/>
          <w:color w:val="262626"/>
          <w:kern w:val="0"/>
          <w:szCs w:val="21"/>
        </w:rPr>
      </w:pPr>
      <w:r>
        <w:rPr>
          <w:rFonts w:ascii="宋体" w:hAnsi="宋体" w:cs="宋体"/>
          <w:color w:val="262626"/>
          <w:kern w:val="0"/>
          <w:szCs w:val="21"/>
        </w:rPr>
        <w:drawing>
          <wp:inline distT="0" distB="0" distL="0" distR="0">
            <wp:extent cx="3140710" cy="1931035"/>
            <wp:effectExtent l="0" t="0" r="0" b="0"/>
            <wp:docPr id="19" name="图片 19" descr="电脑萤幕画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电脑萤幕画面&#10;&#10;中度可信度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0590" cy="1980482"/>
                    </a:xfrm>
                    <a:prstGeom prst="rect">
                      <a:avLst/>
                    </a:prstGeom>
                  </pic:spPr>
                </pic:pic>
              </a:graphicData>
            </a:graphic>
          </wp:inline>
        </w:drawing>
      </w:r>
      <w:r>
        <w:rPr>
          <w:rFonts w:hint="eastAsia" w:ascii="宋体" w:hAnsi="宋体" w:cs="宋体"/>
          <w:color w:val="262626"/>
          <w:kern w:val="0"/>
          <w:szCs w:val="21"/>
        </w:rPr>
        <w:drawing>
          <wp:inline distT="0" distB="0" distL="0" distR="0">
            <wp:extent cx="3479800" cy="1958340"/>
            <wp:effectExtent l="0" t="0" r="0" b="0"/>
            <wp:docPr id="338227606" name="图片 3"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27606" name="图片 3" descr="图片包含 徽标&#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8222" cy="1997161"/>
                    </a:xfrm>
                    <a:prstGeom prst="rect">
                      <a:avLst/>
                    </a:prstGeom>
                  </pic:spPr>
                </pic:pic>
              </a:graphicData>
            </a:graphic>
          </wp:inline>
        </w:drawing>
      </w:r>
    </w:p>
    <w:p>
      <w:pPr>
        <w:jc w:val="left"/>
        <w:rPr>
          <w:rFonts w:ascii="宋体" w:hAnsi="宋体" w:cs="宋体"/>
          <w:b/>
          <w:bCs/>
          <w:color w:val="262626"/>
          <w:kern w:val="0"/>
          <w:szCs w:val="21"/>
        </w:rPr>
      </w:pPr>
      <w:r>
        <w:rPr>
          <w:rFonts w:hint="eastAsia" w:ascii="宋体" w:hAnsi="宋体" w:cs="宋体"/>
          <w:b/>
          <w:bCs/>
          <w:color w:val="262626"/>
          <w:kern w:val="0"/>
          <w:szCs w:val="21"/>
        </w:rPr>
        <w:t>通信及网络：</w:t>
      </w:r>
    </w:p>
    <w:p>
      <w:pPr>
        <w:jc w:val="left"/>
        <w:rPr>
          <w:rFonts w:ascii="宋体" w:hAnsi="宋体" w:cs="宋体"/>
          <w:color w:val="262626"/>
          <w:kern w:val="0"/>
          <w:szCs w:val="21"/>
        </w:rPr>
      </w:pPr>
      <w:r>
        <w:rPr>
          <w:rFonts w:hint="eastAsia" w:ascii="宋体" w:hAnsi="宋体" w:cs="宋体"/>
          <w:color w:val="262626"/>
          <w:kern w:val="0"/>
          <w:szCs w:val="21"/>
        </w:rPr>
        <w:t>学生可自费办理澳洲当地电话卡，或开通国际漫游，主办方可以提供咨询服务。</w:t>
      </w:r>
    </w:p>
    <w:p>
      <w:pPr>
        <w:jc w:val="left"/>
        <w:rPr>
          <w:rFonts w:ascii="宋体" w:hAnsi="宋体" w:cs="宋体"/>
          <w:color w:val="262626"/>
          <w:kern w:val="0"/>
          <w:szCs w:val="21"/>
        </w:rPr>
      </w:pPr>
    </w:p>
    <w:p>
      <w:pPr>
        <w:jc w:val="left"/>
        <w:rPr>
          <w:rFonts w:ascii="宋体" w:hAnsi="宋体" w:cs="宋体"/>
          <w:color w:val="262626"/>
          <w:kern w:val="0"/>
          <w:szCs w:val="21"/>
        </w:rPr>
      </w:pPr>
      <w:r>
        <w:rPr>
          <w:rFonts w:hint="eastAsia" w:ascii="宋体" w:hAnsi="宋体" w:cs="宋体"/>
          <w:b/>
          <w:bCs/>
          <w:color w:val="262626"/>
          <w:kern w:val="0"/>
          <w:szCs w:val="21"/>
        </w:rPr>
        <w:t>海外保险：</w:t>
      </w:r>
      <w:r>
        <w:rPr>
          <w:rFonts w:hint="eastAsia" w:ascii="宋体" w:hAnsi="宋体" w:cs="宋体"/>
          <w:color w:val="262626"/>
          <w:kern w:val="0"/>
          <w:szCs w:val="21"/>
        </w:rPr>
        <w:t>由主办方统一为学生购买，包含医疗保险和意外保险。</w:t>
      </w:r>
    </w:p>
    <w:p>
      <w:pPr>
        <w:jc w:val="left"/>
        <w:rPr>
          <w:rFonts w:ascii="宋体" w:hAnsi="宋体" w:cs="宋体"/>
          <w:color w:val="262626"/>
          <w:kern w:val="0"/>
          <w:szCs w:val="21"/>
        </w:rPr>
      </w:pPr>
    </w:p>
    <w:p>
      <w:pPr>
        <w:jc w:val="left"/>
        <w:rPr>
          <w:rFonts w:ascii="宋体" w:hAnsi="宋体" w:cs="宋体"/>
          <w:color w:val="262626"/>
          <w:kern w:val="0"/>
          <w:szCs w:val="21"/>
        </w:rPr>
      </w:pPr>
      <w:r>
        <w:rPr>
          <w:rFonts w:hint="eastAsia" w:ascii="宋体" w:hAnsi="宋体" w:cs="宋体"/>
          <w:b/>
          <w:bCs/>
          <w:color w:val="262626"/>
          <w:kern w:val="0"/>
          <w:szCs w:val="21"/>
        </w:rPr>
        <w:t>签证：</w:t>
      </w:r>
      <w:r>
        <w:rPr>
          <w:rFonts w:hint="eastAsia" w:ascii="宋体" w:hAnsi="宋体" w:cs="宋体"/>
          <w:color w:val="262626"/>
          <w:kern w:val="0"/>
          <w:szCs w:val="21"/>
        </w:rPr>
        <w:t>主办方统一办理。</w:t>
      </w:r>
    </w:p>
    <w:p>
      <w:pPr>
        <w:jc w:val="left"/>
        <w:rPr>
          <w:rFonts w:ascii="宋体" w:hAnsi="宋体" w:cs="宋体"/>
          <w:color w:val="262626"/>
          <w:kern w:val="0"/>
          <w:szCs w:val="21"/>
        </w:rPr>
      </w:pPr>
    </w:p>
    <w:p>
      <w:pPr>
        <w:jc w:val="left"/>
        <w:rPr>
          <w:rFonts w:ascii="宋体" w:hAnsi="宋体" w:cs="宋体"/>
          <w:color w:val="262626"/>
          <w:kern w:val="0"/>
          <w:szCs w:val="21"/>
        </w:rPr>
      </w:pPr>
      <w:r>
        <w:rPr>
          <w:rFonts w:hint="eastAsia" w:ascii="宋体" w:hAnsi="宋体" w:cs="宋体"/>
          <w:b/>
          <w:bCs/>
          <w:color w:val="262626"/>
          <w:kern w:val="0"/>
          <w:szCs w:val="21"/>
        </w:rPr>
        <w:t>国际机票：</w:t>
      </w:r>
      <w:r>
        <w:rPr>
          <w:rFonts w:hint="eastAsia" w:ascii="宋体" w:hAnsi="宋体" w:cs="宋体"/>
          <w:color w:val="262626"/>
          <w:kern w:val="0"/>
          <w:szCs w:val="21"/>
        </w:rPr>
        <w:t>机票统一预订，机票费用学生自行承担。</w:t>
      </w:r>
    </w:p>
    <w:p>
      <w:pPr>
        <w:jc w:val="left"/>
        <w:rPr>
          <w:rFonts w:ascii="宋体" w:hAnsi="宋体" w:cs="宋体"/>
          <w:color w:val="262626"/>
          <w:kern w:val="0"/>
          <w:szCs w:val="21"/>
        </w:rPr>
      </w:pPr>
    </w:p>
    <w:p>
      <w:pPr>
        <w:jc w:val="left"/>
        <w:rPr>
          <w:rFonts w:ascii="宋体" w:hAnsi="宋体" w:cs="宋体"/>
          <w:color w:val="262626"/>
          <w:kern w:val="0"/>
          <w:szCs w:val="21"/>
        </w:rPr>
      </w:pPr>
      <w:r>
        <w:rPr>
          <w:rFonts w:hint="eastAsia" w:ascii="宋体" w:hAnsi="宋体" w:cs="宋体"/>
          <w:b/>
          <w:bCs/>
          <w:color w:val="262626"/>
          <w:kern w:val="0"/>
          <w:szCs w:val="21"/>
        </w:rPr>
        <w:t>接机：</w:t>
      </w:r>
      <w:r>
        <w:rPr>
          <w:rFonts w:hint="eastAsia" w:ascii="宋体" w:hAnsi="宋体" w:cs="宋体"/>
          <w:color w:val="262626"/>
          <w:kern w:val="0"/>
          <w:szCs w:val="21"/>
        </w:rPr>
        <w:t>该项目将安排从布里斯班国际机场到住处的统一接送机。</w:t>
      </w:r>
    </w:p>
    <w:p>
      <w:pPr>
        <w:jc w:val="left"/>
        <w:rPr>
          <w:rFonts w:ascii="宋体" w:hAnsi="宋体" w:cs="宋体"/>
          <w:color w:val="262626"/>
          <w:kern w:val="0"/>
          <w:szCs w:val="21"/>
        </w:rPr>
      </w:pPr>
    </w:p>
    <w:p>
      <w:pPr>
        <w:jc w:val="left"/>
        <w:rPr>
          <w:rFonts w:ascii="宋体" w:hAnsi="宋体" w:cs="宋体"/>
          <w:b/>
          <w:bCs/>
          <w:color w:val="262626"/>
          <w:kern w:val="0"/>
          <w:szCs w:val="21"/>
        </w:rPr>
      </w:pPr>
      <w:r>
        <w:rPr>
          <w:rFonts w:hint="eastAsia" w:ascii="宋体" w:hAnsi="宋体" w:cs="宋体"/>
          <w:b/>
          <w:bCs/>
          <w:color w:val="262626"/>
          <w:kern w:val="0"/>
          <w:szCs w:val="21"/>
        </w:rPr>
        <w:t>申请条件：</w:t>
      </w:r>
    </w:p>
    <w:p>
      <w:pPr>
        <w:jc w:val="left"/>
        <w:rPr>
          <w:rFonts w:ascii="宋体" w:hAnsi="宋体" w:cs="宋体"/>
          <w:color w:val="262626"/>
          <w:kern w:val="0"/>
          <w:szCs w:val="21"/>
        </w:rPr>
      </w:pPr>
      <w:r>
        <w:rPr>
          <w:rFonts w:hint="eastAsia" w:ascii="宋体" w:hAnsi="宋体" w:cs="宋体"/>
          <w:color w:val="262626"/>
          <w:kern w:val="0"/>
          <w:szCs w:val="21"/>
        </w:rPr>
        <w:t>全日制在读大学生，年满18周岁；身心健康，品行端正，具备独立处理学生、生活的能力；</w:t>
      </w:r>
    </w:p>
    <w:p>
      <w:pPr>
        <w:jc w:val="left"/>
        <w:rPr>
          <w:rFonts w:ascii="宋体" w:hAnsi="宋体" w:cs="宋体"/>
          <w:color w:val="262626"/>
          <w:kern w:val="0"/>
          <w:szCs w:val="21"/>
        </w:rPr>
      </w:pPr>
      <w:r>
        <w:rPr>
          <w:rFonts w:hint="eastAsia" w:ascii="宋体" w:hAnsi="宋体" w:cs="宋体"/>
          <w:color w:val="262626"/>
          <w:kern w:val="0"/>
          <w:szCs w:val="21"/>
        </w:rPr>
        <w:t>英语要求：通过不凡留学的面试和昆士兰大学的学术审核的同学即可申请该项目。</w:t>
      </w:r>
    </w:p>
    <w:p>
      <w:pPr>
        <w:jc w:val="left"/>
        <w:rPr>
          <w:rFonts w:ascii="宋体" w:hAnsi="宋体" w:cs="宋体"/>
          <w:color w:val="262626"/>
          <w:kern w:val="0"/>
          <w:szCs w:val="21"/>
        </w:rPr>
      </w:pPr>
    </w:p>
    <w:p>
      <w:pPr>
        <w:jc w:val="left"/>
        <w:rPr>
          <w:rFonts w:ascii="宋体" w:hAnsi="宋体" w:cs="宋体"/>
          <w:b/>
          <w:bCs/>
          <w:color w:val="262626"/>
          <w:kern w:val="0"/>
          <w:szCs w:val="21"/>
        </w:rPr>
      </w:pPr>
      <w:r>
        <w:rPr>
          <w:rFonts w:hint="eastAsia" w:ascii="宋体" w:hAnsi="宋体" w:cs="宋体"/>
          <w:b/>
          <w:bCs/>
          <w:color w:val="262626"/>
          <w:kern w:val="0"/>
          <w:szCs w:val="21"/>
        </w:rPr>
        <w:t>项目费用：</w:t>
      </w:r>
      <w:r>
        <w:rPr>
          <w:rFonts w:ascii="宋体" w:hAnsi="宋体" w:cs="宋体"/>
          <w:b/>
          <w:bCs/>
          <w:color w:val="262626"/>
          <w:kern w:val="0"/>
          <w:szCs w:val="21"/>
        </w:rPr>
        <w:t>4000</w:t>
      </w:r>
      <w:r>
        <w:rPr>
          <w:rFonts w:hint="eastAsia" w:ascii="宋体" w:hAnsi="宋体" w:cs="宋体"/>
          <w:b/>
          <w:bCs/>
          <w:color w:val="262626"/>
          <w:kern w:val="0"/>
          <w:szCs w:val="21"/>
        </w:rPr>
        <w:t>澳币</w:t>
      </w:r>
    </w:p>
    <w:p>
      <w:pPr>
        <w:jc w:val="left"/>
        <w:rPr>
          <w:rFonts w:ascii="宋体" w:hAnsi="宋体" w:cs="宋体"/>
          <w:color w:val="262626"/>
          <w:kern w:val="0"/>
          <w:szCs w:val="21"/>
        </w:rPr>
      </w:pPr>
      <w:r>
        <w:rPr>
          <w:rFonts w:hint="eastAsia" w:ascii="宋体" w:hAnsi="宋体" w:cs="宋体"/>
          <w:color w:val="262626"/>
          <w:kern w:val="0"/>
          <w:szCs w:val="21"/>
        </w:rPr>
        <w:t>包含：项目申请费、学费、接机费、国际学生费、境外医疗和意外保险费等。</w:t>
      </w:r>
    </w:p>
    <w:p>
      <w:pPr>
        <w:jc w:val="left"/>
        <w:rPr>
          <w:rFonts w:ascii="宋体" w:hAnsi="宋体" w:cs="宋体"/>
          <w:color w:val="262626"/>
          <w:kern w:val="0"/>
          <w:szCs w:val="21"/>
        </w:rPr>
      </w:pPr>
      <w:r>
        <w:rPr>
          <w:rFonts w:hint="eastAsia" w:ascii="宋体" w:hAnsi="宋体" w:cs="宋体"/>
          <w:color w:val="262626"/>
          <w:kern w:val="0"/>
          <w:szCs w:val="21"/>
        </w:rPr>
        <w:t>不含：往返机票、签证费、食宿费、行李超重费、个人购物等其他项目费包含以外的费用。</w:t>
      </w:r>
    </w:p>
    <w:p>
      <w:pPr>
        <w:jc w:val="left"/>
        <w:rPr>
          <w:rFonts w:ascii="宋体" w:hAnsi="宋体" w:cs="宋体"/>
          <w:color w:val="262626"/>
          <w:kern w:val="0"/>
          <w:szCs w:val="21"/>
        </w:rPr>
      </w:pPr>
    </w:p>
    <w:p>
      <w:pPr>
        <w:jc w:val="left"/>
        <w:rPr>
          <w:rFonts w:hint="eastAsia" w:ascii="宋体" w:hAnsi="宋体" w:cs="宋体"/>
          <w:color w:val="262626"/>
          <w:kern w:val="0"/>
          <w:szCs w:val="21"/>
        </w:rPr>
      </w:pPr>
      <w:bookmarkStart w:id="0" w:name="_GoBack"/>
      <w:bookmarkEnd w:id="0"/>
      <w:r>
        <w:rPr>
          <w:rFonts w:hint="eastAsia" w:ascii="宋体" w:hAnsi="宋体" w:cs="宋体"/>
          <w:color w:val="262626"/>
          <w:kern w:val="0"/>
          <w:szCs w:val="21"/>
        </w:rPr>
        <w:t>咨询</w:t>
      </w:r>
      <w:r>
        <w:rPr>
          <w:rFonts w:ascii="宋体" w:hAnsi="宋体" w:cs="宋体"/>
          <w:color w:val="262626"/>
          <w:kern w:val="0"/>
          <w:szCs w:val="21"/>
        </w:rPr>
        <w:t>QQ</w:t>
      </w:r>
      <w:r>
        <w:rPr>
          <w:rFonts w:hint="eastAsia" w:ascii="宋体" w:hAnsi="宋体" w:cs="宋体"/>
          <w:color w:val="262626"/>
          <w:kern w:val="0"/>
          <w:szCs w:val="21"/>
        </w:rPr>
        <w:t>群：</w:t>
      </w:r>
      <w:r>
        <w:rPr>
          <w:rFonts w:ascii="宋体" w:hAnsi="宋体" w:cs="宋体"/>
          <w:color w:val="262626"/>
          <w:kern w:val="0"/>
          <w:szCs w:val="21"/>
        </w:rPr>
        <w:t>678425047</w:t>
      </w:r>
    </w:p>
    <w:sectPr>
      <w:headerReference r:id="rId5" w:type="first"/>
      <w:footerReference r:id="rId8" w:type="first"/>
      <w:headerReference r:id="rId3" w:type="default"/>
      <w:footerReference r:id="rId6" w:type="default"/>
      <w:headerReference r:id="rId4" w:type="even"/>
      <w:footerReference r:id="rId7" w:type="even"/>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PingFangSC-Regular">
    <w:altName w:val="微软雅黑"/>
    <w:panose1 w:val="020B0400000000000000"/>
    <w:charset w:val="86"/>
    <w:family w:val="swiss"/>
    <w:pitch w:val="default"/>
    <w:sig w:usb0="00000000" w:usb1="00000000" w:usb2="00000017"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375"/>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IwYTg3M2RmZmVhYTlmNjY4N2FkYTE1MThjMzI5MmMifQ=="/>
  </w:docVars>
  <w:rsids>
    <w:rsidRoot w:val="002B1290"/>
    <w:rsid w:val="00000E2B"/>
    <w:rsid w:val="000012B2"/>
    <w:rsid w:val="000038AA"/>
    <w:rsid w:val="00064070"/>
    <w:rsid w:val="00072F6B"/>
    <w:rsid w:val="00075537"/>
    <w:rsid w:val="00080BB2"/>
    <w:rsid w:val="000B633F"/>
    <w:rsid w:val="000D235A"/>
    <w:rsid w:val="000E54C1"/>
    <w:rsid w:val="00110EA0"/>
    <w:rsid w:val="00166313"/>
    <w:rsid w:val="00175662"/>
    <w:rsid w:val="0017618C"/>
    <w:rsid w:val="001774BE"/>
    <w:rsid w:val="00182234"/>
    <w:rsid w:val="001A0E77"/>
    <w:rsid w:val="001D2D2A"/>
    <w:rsid w:val="001D5608"/>
    <w:rsid w:val="001E2601"/>
    <w:rsid w:val="002336D7"/>
    <w:rsid w:val="00234369"/>
    <w:rsid w:val="002474C9"/>
    <w:rsid w:val="00250688"/>
    <w:rsid w:val="002B1290"/>
    <w:rsid w:val="002B55A1"/>
    <w:rsid w:val="002D4B66"/>
    <w:rsid w:val="00300DF0"/>
    <w:rsid w:val="003241E2"/>
    <w:rsid w:val="003279EF"/>
    <w:rsid w:val="00356B2A"/>
    <w:rsid w:val="00377477"/>
    <w:rsid w:val="003A4C63"/>
    <w:rsid w:val="003C5AF8"/>
    <w:rsid w:val="003D07F4"/>
    <w:rsid w:val="003E5AD6"/>
    <w:rsid w:val="003F066D"/>
    <w:rsid w:val="00426F57"/>
    <w:rsid w:val="00435847"/>
    <w:rsid w:val="00447A6C"/>
    <w:rsid w:val="00472310"/>
    <w:rsid w:val="004A1CB8"/>
    <w:rsid w:val="004A42CF"/>
    <w:rsid w:val="004A7889"/>
    <w:rsid w:val="004E03A2"/>
    <w:rsid w:val="004E10C8"/>
    <w:rsid w:val="004E4128"/>
    <w:rsid w:val="004F6DE3"/>
    <w:rsid w:val="004F7662"/>
    <w:rsid w:val="00504339"/>
    <w:rsid w:val="00504B42"/>
    <w:rsid w:val="00512EE9"/>
    <w:rsid w:val="0051514E"/>
    <w:rsid w:val="005239C3"/>
    <w:rsid w:val="00530917"/>
    <w:rsid w:val="005370C0"/>
    <w:rsid w:val="005407D7"/>
    <w:rsid w:val="00540B4E"/>
    <w:rsid w:val="00551769"/>
    <w:rsid w:val="00555685"/>
    <w:rsid w:val="005971FA"/>
    <w:rsid w:val="005A78E0"/>
    <w:rsid w:val="005C62A0"/>
    <w:rsid w:val="005C7576"/>
    <w:rsid w:val="0060017D"/>
    <w:rsid w:val="00652207"/>
    <w:rsid w:val="006608FB"/>
    <w:rsid w:val="00672123"/>
    <w:rsid w:val="00684175"/>
    <w:rsid w:val="006A788D"/>
    <w:rsid w:val="006B343A"/>
    <w:rsid w:val="006B3679"/>
    <w:rsid w:val="006B5BA5"/>
    <w:rsid w:val="006E3CA1"/>
    <w:rsid w:val="00716FD7"/>
    <w:rsid w:val="00742972"/>
    <w:rsid w:val="007443B8"/>
    <w:rsid w:val="00775C01"/>
    <w:rsid w:val="0077735E"/>
    <w:rsid w:val="007808F7"/>
    <w:rsid w:val="00781249"/>
    <w:rsid w:val="007A394A"/>
    <w:rsid w:val="007B13F0"/>
    <w:rsid w:val="007B16DF"/>
    <w:rsid w:val="007B7BB3"/>
    <w:rsid w:val="007C6DAC"/>
    <w:rsid w:val="00811E29"/>
    <w:rsid w:val="00816EE1"/>
    <w:rsid w:val="00821C5A"/>
    <w:rsid w:val="00825EFA"/>
    <w:rsid w:val="0084172F"/>
    <w:rsid w:val="00842A86"/>
    <w:rsid w:val="00860C63"/>
    <w:rsid w:val="008957C5"/>
    <w:rsid w:val="008A7DDD"/>
    <w:rsid w:val="008D7704"/>
    <w:rsid w:val="008E2F03"/>
    <w:rsid w:val="008F2F77"/>
    <w:rsid w:val="00902DC6"/>
    <w:rsid w:val="009035E6"/>
    <w:rsid w:val="009123AA"/>
    <w:rsid w:val="00933F97"/>
    <w:rsid w:val="00952BB7"/>
    <w:rsid w:val="00966130"/>
    <w:rsid w:val="009770D9"/>
    <w:rsid w:val="009D31AE"/>
    <w:rsid w:val="009F7427"/>
    <w:rsid w:val="00A03182"/>
    <w:rsid w:val="00A5593D"/>
    <w:rsid w:val="00A66658"/>
    <w:rsid w:val="00AB47E9"/>
    <w:rsid w:val="00AC5B39"/>
    <w:rsid w:val="00AD79B5"/>
    <w:rsid w:val="00AF4788"/>
    <w:rsid w:val="00AF540D"/>
    <w:rsid w:val="00B11C1D"/>
    <w:rsid w:val="00B24004"/>
    <w:rsid w:val="00B416E6"/>
    <w:rsid w:val="00B51092"/>
    <w:rsid w:val="00B85885"/>
    <w:rsid w:val="00B878AE"/>
    <w:rsid w:val="00BA0ACE"/>
    <w:rsid w:val="00BF37AB"/>
    <w:rsid w:val="00C439AF"/>
    <w:rsid w:val="00C66FB1"/>
    <w:rsid w:val="00C74922"/>
    <w:rsid w:val="00C80DD9"/>
    <w:rsid w:val="00C95254"/>
    <w:rsid w:val="00C95532"/>
    <w:rsid w:val="00C97EE8"/>
    <w:rsid w:val="00CD0662"/>
    <w:rsid w:val="00CD14B9"/>
    <w:rsid w:val="00CE1E5C"/>
    <w:rsid w:val="00D21CE1"/>
    <w:rsid w:val="00D417E6"/>
    <w:rsid w:val="00D6087A"/>
    <w:rsid w:val="00D711BC"/>
    <w:rsid w:val="00D81F5A"/>
    <w:rsid w:val="00DA3B28"/>
    <w:rsid w:val="00E147BE"/>
    <w:rsid w:val="00E36715"/>
    <w:rsid w:val="00E36877"/>
    <w:rsid w:val="00E409D3"/>
    <w:rsid w:val="00E43762"/>
    <w:rsid w:val="00E55EB1"/>
    <w:rsid w:val="00E813C4"/>
    <w:rsid w:val="00E81C9C"/>
    <w:rsid w:val="00E85BE0"/>
    <w:rsid w:val="00EB78B6"/>
    <w:rsid w:val="00ED6803"/>
    <w:rsid w:val="00ED7010"/>
    <w:rsid w:val="00EE34B7"/>
    <w:rsid w:val="00F021DD"/>
    <w:rsid w:val="00F12AA2"/>
    <w:rsid w:val="00F25C92"/>
    <w:rsid w:val="00F50C91"/>
    <w:rsid w:val="00F92194"/>
    <w:rsid w:val="00FF120A"/>
    <w:rsid w:val="00FF1EA4"/>
    <w:rsid w:val="012915C4"/>
    <w:rsid w:val="015D3706"/>
    <w:rsid w:val="0160673B"/>
    <w:rsid w:val="027617FF"/>
    <w:rsid w:val="02AB5FAE"/>
    <w:rsid w:val="048020CE"/>
    <w:rsid w:val="057C14B8"/>
    <w:rsid w:val="06BF6602"/>
    <w:rsid w:val="07D35726"/>
    <w:rsid w:val="08C33AEF"/>
    <w:rsid w:val="0BEC0365"/>
    <w:rsid w:val="0C0617CA"/>
    <w:rsid w:val="0D032D61"/>
    <w:rsid w:val="0DF80646"/>
    <w:rsid w:val="0E002170"/>
    <w:rsid w:val="0F016CB0"/>
    <w:rsid w:val="0F0E48E3"/>
    <w:rsid w:val="10A77E6B"/>
    <w:rsid w:val="10AE2DF5"/>
    <w:rsid w:val="10C551E6"/>
    <w:rsid w:val="112D124C"/>
    <w:rsid w:val="118113CD"/>
    <w:rsid w:val="12D8590B"/>
    <w:rsid w:val="19B2671B"/>
    <w:rsid w:val="1AC772F4"/>
    <w:rsid w:val="1B561C3F"/>
    <w:rsid w:val="1BEB670D"/>
    <w:rsid w:val="1C2767B7"/>
    <w:rsid w:val="1C4D7137"/>
    <w:rsid w:val="1C8D3547"/>
    <w:rsid w:val="20CF4550"/>
    <w:rsid w:val="21F02531"/>
    <w:rsid w:val="222916FD"/>
    <w:rsid w:val="23733B2E"/>
    <w:rsid w:val="244902C6"/>
    <w:rsid w:val="24BC792D"/>
    <w:rsid w:val="25777389"/>
    <w:rsid w:val="26F571EC"/>
    <w:rsid w:val="27453FFA"/>
    <w:rsid w:val="27B72341"/>
    <w:rsid w:val="28B54325"/>
    <w:rsid w:val="29F8334D"/>
    <w:rsid w:val="2A110978"/>
    <w:rsid w:val="2B035954"/>
    <w:rsid w:val="2BFE4BEF"/>
    <w:rsid w:val="2DD06D9F"/>
    <w:rsid w:val="2E5938B6"/>
    <w:rsid w:val="2E773A1D"/>
    <w:rsid w:val="30AB4C2C"/>
    <w:rsid w:val="30F1222D"/>
    <w:rsid w:val="31982D46"/>
    <w:rsid w:val="325B1C6E"/>
    <w:rsid w:val="330F57C6"/>
    <w:rsid w:val="34F61DB2"/>
    <w:rsid w:val="3516237B"/>
    <w:rsid w:val="3638783D"/>
    <w:rsid w:val="36F01790"/>
    <w:rsid w:val="382E4442"/>
    <w:rsid w:val="3830720F"/>
    <w:rsid w:val="38DB3B4C"/>
    <w:rsid w:val="394146FE"/>
    <w:rsid w:val="398B4306"/>
    <w:rsid w:val="3B1D4E4C"/>
    <w:rsid w:val="3BCF3DF4"/>
    <w:rsid w:val="3BD60C30"/>
    <w:rsid w:val="3CAC3291"/>
    <w:rsid w:val="3CFC39E6"/>
    <w:rsid w:val="3DE73E05"/>
    <w:rsid w:val="3DEC46BF"/>
    <w:rsid w:val="3DF416F7"/>
    <w:rsid w:val="3E7A7731"/>
    <w:rsid w:val="3EC8569A"/>
    <w:rsid w:val="3FB62185"/>
    <w:rsid w:val="42527D83"/>
    <w:rsid w:val="43820AE1"/>
    <w:rsid w:val="43A9630A"/>
    <w:rsid w:val="43C746FB"/>
    <w:rsid w:val="4469172A"/>
    <w:rsid w:val="4572521C"/>
    <w:rsid w:val="4CB664EE"/>
    <w:rsid w:val="4DD551C9"/>
    <w:rsid w:val="4DF9063A"/>
    <w:rsid w:val="4E3A0F38"/>
    <w:rsid w:val="4F945799"/>
    <w:rsid w:val="4F9B6731"/>
    <w:rsid w:val="51AD76F1"/>
    <w:rsid w:val="52B01A75"/>
    <w:rsid w:val="53110D4D"/>
    <w:rsid w:val="537F7BE0"/>
    <w:rsid w:val="560565A6"/>
    <w:rsid w:val="562407DC"/>
    <w:rsid w:val="572B04E5"/>
    <w:rsid w:val="575F7218"/>
    <w:rsid w:val="57A3694A"/>
    <w:rsid w:val="5847294A"/>
    <w:rsid w:val="5C2858C5"/>
    <w:rsid w:val="5CAE5613"/>
    <w:rsid w:val="5D6F64F4"/>
    <w:rsid w:val="5DE15A49"/>
    <w:rsid w:val="5DEA3ABE"/>
    <w:rsid w:val="5DEC7529"/>
    <w:rsid w:val="5F3727EC"/>
    <w:rsid w:val="5FC21A25"/>
    <w:rsid w:val="617A014B"/>
    <w:rsid w:val="61FD43A7"/>
    <w:rsid w:val="635A12FE"/>
    <w:rsid w:val="63D6568E"/>
    <w:rsid w:val="64132645"/>
    <w:rsid w:val="693C143C"/>
    <w:rsid w:val="6A0D3FD6"/>
    <w:rsid w:val="6B03332A"/>
    <w:rsid w:val="6B565ECC"/>
    <w:rsid w:val="6B8272CD"/>
    <w:rsid w:val="6D204E93"/>
    <w:rsid w:val="6D42762D"/>
    <w:rsid w:val="6E4E2488"/>
    <w:rsid w:val="71494D08"/>
    <w:rsid w:val="714A2557"/>
    <w:rsid w:val="71C3422C"/>
    <w:rsid w:val="735E1D4F"/>
    <w:rsid w:val="73F443FF"/>
    <w:rsid w:val="76037E3A"/>
    <w:rsid w:val="76A8732C"/>
    <w:rsid w:val="77EB1E5C"/>
    <w:rsid w:val="789D2F4C"/>
    <w:rsid w:val="79024AFC"/>
    <w:rsid w:val="795B3FFE"/>
    <w:rsid w:val="799A5122"/>
    <w:rsid w:val="7A5D3E32"/>
    <w:rsid w:val="7AE521C6"/>
    <w:rsid w:val="7B9273F5"/>
    <w:rsid w:val="7E361D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b/>
      <w:kern w:val="0"/>
      <w:sz w:val="24"/>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100" w:beforeAutospacing="1" w:after="100"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0"/>
    <w:rPr>
      <w:b/>
    </w:rPr>
  </w:style>
  <w:style w:type="character" w:styleId="10">
    <w:name w:val="FollowedHyperlink"/>
    <w:qFormat/>
    <w:uiPriority w:val="0"/>
    <w:rPr>
      <w:color w:val="607FA6"/>
      <w:u w:val="none"/>
    </w:rPr>
  </w:style>
  <w:style w:type="character" w:styleId="11">
    <w:name w:val="Hyperlink"/>
    <w:qFormat/>
    <w:uiPriority w:val="0"/>
    <w:rPr>
      <w:color w:val="607FA6"/>
      <w:u w:val="none"/>
    </w:rPr>
  </w:style>
  <w:style w:type="character" w:customStyle="1" w:styleId="12">
    <w:name w:val="rich_media_meta_nickname"/>
    <w:qFormat/>
    <w:uiPriority w:val="0"/>
    <w:rPr>
      <w:vanish/>
    </w:rPr>
  </w:style>
  <w:style w:type="character" w:customStyle="1" w:styleId="13">
    <w:name w:val="img_bg_cover"/>
    <w:basedOn w:val="8"/>
    <w:qFormat/>
    <w:uiPriority w:val="0"/>
  </w:style>
  <w:style w:type="character" w:customStyle="1" w:styleId="14">
    <w:name w:val="rich_media_meta_nickname1"/>
    <w:basedOn w:val="8"/>
    <w:qFormat/>
    <w:uiPriority w:val="0"/>
  </w:style>
  <w:style w:type="paragraph" w:styleId="15">
    <w:name w:val="List Paragraph"/>
    <w:basedOn w:val="1"/>
    <w:qFormat/>
    <w:uiPriority w:val="99"/>
    <w:pPr>
      <w:ind w:firstLine="420" w:firstLineChars="200"/>
    </w:pPr>
  </w:style>
  <w:style w:type="table" w:customStyle="1" w:styleId="1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17">
    <w:name w:val="Table Paragraph"/>
    <w:basedOn w:val="1"/>
    <w:qFormat/>
    <w:uiPriority w:val="1"/>
    <w:pPr>
      <w:autoSpaceDE w:val="0"/>
      <w:autoSpaceDN w:val="0"/>
      <w:jc w:val="left"/>
    </w:pPr>
    <w:rPr>
      <w:rFonts w:ascii="Arial" w:hAnsi="Arial" w:eastAsia="Arial" w:cs="Arial"/>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1092</Words>
  <Characters>1254</Characters>
  <Lines>9</Lines>
  <Paragraphs>2</Paragraphs>
  <TotalTime>166</TotalTime>
  <ScaleCrop>false</ScaleCrop>
  <LinksUpToDate>false</LinksUpToDate>
  <CharactersWithSpaces>1312</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2023-03-13T11:46:00Z</dcterms:created>
  <dc:creator>Amy</dc:creator>
  <cp:lastModifiedBy>给你温暖</cp:lastModifiedBy>
  <dcterms:modified xsi:type="dcterms:W3CDTF">2023-10-17T10:50:18Z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0CE189DDBAA14C41AAA4EE68F90ED4B4_12</vt:lpwstr>
  </property>
</Properties>
</file>