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4818C1A4" w:rsidR="003852AC" w:rsidRDefault="0061098C"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 xml:space="preserve"> </w:t>
      </w:r>
      <w:r w:rsidR="008B6D63">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B0FE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38DE4A09" w:rsidR="00EB1589" w:rsidRPr="00C3377D" w:rsidRDefault="00EB1589" w:rsidP="00EC1F4F">
      <w:pPr>
        <w:pStyle w:val="Default"/>
        <w:ind w:left="1701" w:hanging="1701"/>
        <w:rPr>
          <w:rFonts w:ascii="Cambria" w:hAnsi="Cambria"/>
          <w:b/>
          <w:bCs/>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D732FC" w:rsidRPr="00C3377D">
        <w:rPr>
          <w:rFonts w:ascii="Cambria" w:hAnsi="Cambria"/>
          <w:b/>
          <w:bCs/>
        </w:rPr>
        <w:t>Climate Change and Circular Economy Intern</w:t>
      </w:r>
    </w:p>
    <w:p w14:paraId="2D70E5F6" w14:textId="556E5095" w:rsidR="00ED3D4B" w:rsidRPr="00D732FC" w:rsidRDefault="00462308" w:rsidP="007A6C06">
      <w:pPr>
        <w:spacing w:after="0" w:line="240" w:lineRule="auto"/>
        <w:ind w:left="1701" w:hanging="1701"/>
        <w:jc w:val="both"/>
        <w:rPr>
          <w:rFonts w:ascii="Cambria" w:hAnsi="Cambria"/>
          <w:sz w:val="24"/>
          <w:szCs w:val="24"/>
          <w:lang w:val="fr-FR"/>
        </w:rPr>
      </w:pPr>
      <w:r w:rsidRPr="00D732FC">
        <w:rPr>
          <w:rFonts w:ascii="Cambria" w:hAnsi="Cambria"/>
          <w:sz w:val="24"/>
          <w:szCs w:val="24"/>
          <w:lang w:val="fr-FR"/>
        </w:rPr>
        <w:t>Bureau/Dept/</w:t>
      </w:r>
      <w:proofErr w:type="gramStart"/>
      <w:r w:rsidRPr="00D732FC">
        <w:rPr>
          <w:rFonts w:ascii="Cambria" w:hAnsi="Cambria"/>
          <w:sz w:val="24"/>
          <w:szCs w:val="24"/>
          <w:lang w:val="fr-FR"/>
        </w:rPr>
        <w:t>Unit</w:t>
      </w:r>
      <w:r w:rsidR="00ED3D4B" w:rsidRPr="00D732FC">
        <w:rPr>
          <w:rFonts w:ascii="Cambria" w:hAnsi="Cambria"/>
          <w:sz w:val="24"/>
          <w:szCs w:val="24"/>
          <w:lang w:val="fr-FR"/>
        </w:rPr>
        <w:t>:</w:t>
      </w:r>
      <w:proofErr w:type="gramEnd"/>
      <w:r w:rsidR="00ED3D4B" w:rsidRPr="00D732FC">
        <w:rPr>
          <w:rFonts w:ascii="Cambria" w:hAnsi="Cambria"/>
          <w:sz w:val="24"/>
          <w:szCs w:val="24"/>
          <w:lang w:val="fr-FR"/>
        </w:rPr>
        <w:tab/>
      </w:r>
      <w:r w:rsidR="00D732FC" w:rsidRPr="00D732FC">
        <w:rPr>
          <w:rFonts w:ascii="Cambria" w:hAnsi="Cambria"/>
          <w:sz w:val="24"/>
          <w:szCs w:val="24"/>
          <w:lang w:val="fr-FR"/>
        </w:rPr>
        <w:t>BDT-DNE</w:t>
      </w:r>
      <w:r w:rsidR="00D732FC">
        <w:rPr>
          <w:rFonts w:ascii="Cambria" w:hAnsi="Cambria"/>
          <w:sz w:val="24"/>
          <w:szCs w:val="24"/>
          <w:lang w:val="fr-FR"/>
        </w:rPr>
        <w:t>-CET</w:t>
      </w:r>
    </w:p>
    <w:p w14:paraId="5F32DC84" w14:textId="6263E0F4"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D732FC">
        <w:rPr>
          <w:rFonts w:ascii="Cambria" w:hAnsi="Cambria"/>
          <w:sz w:val="24"/>
          <w:szCs w:val="24"/>
        </w:rPr>
        <w:t>Head CET Division</w:t>
      </w:r>
    </w:p>
    <w:p w14:paraId="3D429F1A" w14:textId="56FE528B"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D732FC">
        <w:rPr>
          <w:rFonts w:ascii="Cambria" w:hAnsi="Cambria"/>
          <w:sz w:val="24"/>
          <w:szCs w:val="24"/>
        </w:rPr>
        <w:t>11 months</w:t>
      </w:r>
      <w:r w:rsidRPr="007A6C06">
        <w:rPr>
          <w:rFonts w:ascii="Cambria" w:hAnsi="Cambria"/>
          <w:sz w:val="24"/>
          <w:szCs w:val="24"/>
        </w:rPr>
        <w:t xml:space="preserve"> </w:t>
      </w:r>
    </w:p>
    <w:p w14:paraId="3FDE788B" w14:textId="0CD68E0C"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D732FC">
        <w:rPr>
          <w:rFonts w:ascii="Cambria" w:hAnsi="Cambria"/>
          <w:sz w:val="24"/>
          <w:szCs w:val="24"/>
        </w:rPr>
        <w:t>ITU Headquarters</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6B29A31E"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r w:rsidR="00D732FC">
        <w:rPr>
          <w:rFonts w:ascii="Cambria" w:hAnsi="Cambria"/>
          <w:sz w:val="24"/>
          <w:szCs w:val="24"/>
        </w:rPr>
        <w:t>In</w:t>
      </w:r>
      <w:r w:rsidRPr="007A6C06">
        <w:rPr>
          <w:rFonts w:ascii="Cambria" w:hAnsi="Cambria"/>
          <w:sz w:val="24"/>
          <w:szCs w:val="24"/>
        </w:rPr>
        <w:t xml:space="preserve"> addition to our 19</w:t>
      </w:r>
      <w:r w:rsidR="00D732FC">
        <w:rPr>
          <w:rFonts w:ascii="Cambria" w:hAnsi="Cambria"/>
          <w:sz w:val="24"/>
          <w:szCs w:val="24"/>
        </w:rPr>
        <w:t>4</w:t>
      </w:r>
      <w:r w:rsidRPr="007A6C06">
        <w:rPr>
          <w:rFonts w:ascii="Cambria" w:hAnsi="Cambria"/>
          <w:sz w:val="24"/>
          <w:szCs w:val="24"/>
        </w:rPr>
        <w:t xml:space="preserve">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7FDEEEE0" w14:textId="77777777" w:rsidR="00D732FC" w:rsidRDefault="00D732FC" w:rsidP="00D732FC">
      <w:pPr>
        <w:autoSpaceDE w:val="0"/>
        <w:autoSpaceDN w:val="0"/>
        <w:adjustRightInd w:val="0"/>
        <w:spacing w:after="0" w:line="240" w:lineRule="auto"/>
        <w:jc w:val="both"/>
        <w:rPr>
          <w:rFonts w:ascii="Cambria" w:hAnsi="Cambria" w:cs="Helvetica"/>
          <w:sz w:val="24"/>
          <w:szCs w:val="24"/>
        </w:rPr>
      </w:pPr>
      <w:r w:rsidRPr="00D732FC">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D732FC">
        <w:rPr>
          <w:rFonts w:ascii="Cambria" w:hAnsi="Cambria" w:cs="Helvetica"/>
          <w:sz w:val="24"/>
          <w:szCs w:val="24"/>
        </w:rPr>
        <w:lastRenderedPageBreak/>
        <w:t xml:space="preserve">which deals mainly with ICT-focused development policies, strategies and </w:t>
      </w:r>
      <w:proofErr w:type="spellStart"/>
      <w:r w:rsidRPr="00D732FC">
        <w:rPr>
          <w:rFonts w:ascii="Cambria" w:hAnsi="Cambria" w:cs="Helvetica"/>
          <w:sz w:val="24"/>
          <w:szCs w:val="24"/>
        </w:rPr>
        <w:t>programmes</w:t>
      </w:r>
      <w:proofErr w:type="spellEnd"/>
      <w:r w:rsidRPr="00D732FC">
        <w:rPr>
          <w:rFonts w:ascii="Cambria" w:hAnsi="Cambria" w:cs="Helvetica"/>
          <w:sz w:val="24"/>
          <w:szCs w:val="24"/>
        </w:rPr>
        <w:t xml:space="preserve">, as well as technical cooperation activities, to promote digital inclusion and drive digital transformation at community, country and regional levels. To effectively and efficiently serve the needs of ITU members, BDT is organized into four functional areas: </w:t>
      </w:r>
    </w:p>
    <w:p w14:paraId="3A903CBF" w14:textId="77777777" w:rsidR="00D732FC" w:rsidRDefault="00D732FC" w:rsidP="00735CA9">
      <w:pPr>
        <w:pStyle w:val="ListParagraph"/>
        <w:numPr>
          <w:ilvl w:val="0"/>
          <w:numId w:val="22"/>
        </w:numPr>
        <w:autoSpaceDE w:val="0"/>
        <w:autoSpaceDN w:val="0"/>
        <w:adjustRightInd w:val="0"/>
        <w:spacing w:after="0" w:line="240" w:lineRule="auto"/>
        <w:jc w:val="both"/>
        <w:rPr>
          <w:rFonts w:ascii="Cambria" w:hAnsi="Cambria" w:cs="Helvetica"/>
          <w:sz w:val="24"/>
          <w:szCs w:val="24"/>
        </w:rPr>
      </w:pPr>
      <w:r w:rsidRPr="00D732FC">
        <w:rPr>
          <w:rFonts w:ascii="Cambria" w:hAnsi="Cambria" w:cs="Helvetica"/>
          <w:sz w:val="24"/>
          <w:szCs w:val="24"/>
        </w:rPr>
        <w:t>Operations Coordination Department</w:t>
      </w:r>
    </w:p>
    <w:p w14:paraId="669900E9" w14:textId="77777777" w:rsidR="00D732FC" w:rsidRDefault="00D732FC" w:rsidP="00735CA9">
      <w:pPr>
        <w:pStyle w:val="ListParagraph"/>
        <w:numPr>
          <w:ilvl w:val="0"/>
          <w:numId w:val="22"/>
        </w:numPr>
        <w:autoSpaceDE w:val="0"/>
        <w:autoSpaceDN w:val="0"/>
        <w:adjustRightInd w:val="0"/>
        <w:spacing w:after="0" w:line="240" w:lineRule="auto"/>
        <w:jc w:val="both"/>
        <w:rPr>
          <w:rFonts w:ascii="Cambria" w:hAnsi="Cambria" w:cs="Helvetica"/>
          <w:sz w:val="24"/>
          <w:szCs w:val="24"/>
        </w:rPr>
      </w:pPr>
      <w:r w:rsidRPr="00D732FC">
        <w:rPr>
          <w:rFonts w:ascii="Cambria" w:hAnsi="Cambria" w:cs="Helvetica"/>
          <w:sz w:val="24"/>
          <w:szCs w:val="24"/>
        </w:rPr>
        <w:t>Projects, Partnership and Digital Skills Department</w:t>
      </w:r>
    </w:p>
    <w:p w14:paraId="747E025F" w14:textId="77777777" w:rsidR="00D732FC" w:rsidRDefault="00D732FC" w:rsidP="00735CA9">
      <w:pPr>
        <w:pStyle w:val="ListParagraph"/>
        <w:numPr>
          <w:ilvl w:val="0"/>
          <w:numId w:val="22"/>
        </w:numPr>
        <w:autoSpaceDE w:val="0"/>
        <w:autoSpaceDN w:val="0"/>
        <w:adjustRightInd w:val="0"/>
        <w:spacing w:after="0" w:line="240" w:lineRule="auto"/>
        <w:jc w:val="both"/>
        <w:rPr>
          <w:rFonts w:ascii="Cambria" w:hAnsi="Cambria" w:cs="Helvetica"/>
          <w:sz w:val="24"/>
          <w:szCs w:val="24"/>
        </w:rPr>
      </w:pPr>
      <w:r w:rsidRPr="00D732FC">
        <w:rPr>
          <w:rFonts w:ascii="Cambria" w:hAnsi="Cambria" w:cs="Helvetica"/>
          <w:sz w:val="24"/>
          <w:szCs w:val="24"/>
        </w:rPr>
        <w:t>Digital Networks &amp; Environment Department</w:t>
      </w:r>
    </w:p>
    <w:p w14:paraId="78C69A06" w14:textId="77777777" w:rsidR="00D732FC" w:rsidRDefault="00D732FC" w:rsidP="00735CA9">
      <w:pPr>
        <w:pStyle w:val="ListParagraph"/>
        <w:numPr>
          <w:ilvl w:val="0"/>
          <w:numId w:val="22"/>
        </w:numPr>
        <w:autoSpaceDE w:val="0"/>
        <w:autoSpaceDN w:val="0"/>
        <w:adjustRightInd w:val="0"/>
        <w:spacing w:after="0" w:line="240" w:lineRule="auto"/>
        <w:jc w:val="both"/>
        <w:rPr>
          <w:rFonts w:ascii="Cambria" w:hAnsi="Cambria" w:cs="Helvetica"/>
          <w:sz w:val="24"/>
          <w:szCs w:val="24"/>
        </w:rPr>
      </w:pPr>
      <w:r w:rsidRPr="00D732FC">
        <w:rPr>
          <w:rFonts w:ascii="Cambria" w:hAnsi="Cambria" w:cs="Helvetica"/>
          <w:sz w:val="24"/>
          <w:szCs w:val="24"/>
        </w:rPr>
        <w:t xml:space="preserve">Digital Knowledge Society Department </w:t>
      </w:r>
    </w:p>
    <w:p w14:paraId="7163B56D" w14:textId="77777777" w:rsidR="00D732FC" w:rsidRDefault="00D732FC" w:rsidP="00D732FC">
      <w:pPr>
        <w:autoSpaceDE w:val="0"/>
        <w:autoSpaceDN w:val="0"/>
        <w:adjustRightInd w:val="0"/>
        <w:spacing w:after="0" w:line="240" w:lineRule="auto"/>
        <w:rPr>
          <w:rFonts w:ascii="Cambria" w:hAnsi="Cambria" w:cs="Helvetica"/>
          <w:sz w:val="24"/>
          <w:szCs w:val="24"/>
        </w:rPr>
      </w:pPr>
    </w:p>
    <w:p w14:paraId="48AF218C" w14:textId="1E565766" w:rsidR="00F73449" w:rsidRPr="00D732FC" w:rsidRDefault="00D732FC" w:rsidP="00D732FC">
      <w:pPr>
        <w:autoSpaceDE w:val="0"/>
        <w:autoSpaceDN w:val="0"/>
        <w:adjustRightInd w:val="0"/>
        <w:spacing w:after="0" w:line="240" w:lineRule="auto"/>
        <w:jc w:val="both"/>
        <w:rPr>
          <w:rFonts w:ascii="Cambria" w:hAnsi="Cambria" w:cs="Helvetica"/>
          <w:sz w:val="24"/>
          <w:szCs w:val="24"/>
        </w:rPr>
      </w:pPr>
      <w:r w:rsidRPr="00D732FC">
        <w:rPr>
          <w:rFonts w:ascii="Cambria" w:hAnsi="Cambria" w:cs="Helvetica"/>
          <w:sz w:val="24"/>
          <w:szCs w:val="24"/>
        </w:rPr>
        <w:t>The Digital Networks &amp; Environment Department is responsible for coordinating the work of BDT on cybersecurity, digital innovation and services, digital inclusion, environment, emergency telecommunications and network and digital infrastructure. The department is also responsible for supporting ITU Member States in their transition to digital societies by providing tools and guidelines to address environmental challenges (in particular, climate change and e-waste), and for promoting innovation, ICT applications/services, digital inclusion and ecosystems, with the goal to 'leave no one behind'.</w:t>
      </w:r>
    </w:p>
    <w:p w14:paraId="3690941D" w14:textId="77777777" w:rsidR="00D732FC" w:rsidRDefault="00D732FC"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2A830B34" w14:textId="77777777" w:rsidR="005625D8" w:rsidRPr="005625D8" w:rsidRDefault="00F73449" w:rsidP="003044AF">
            <w:pPr>
              <w:pStyle w:val="ListParagraph"/>
              <w:numPr>
                <w:ilvl w:val="0"/>
                <w:numId w:val="12"/>
              </w:numPr>
              <w:ind w:left="179" w:hanging="284"/>
              <w:jc w:val="both"/>
              <w:rPr>
                <w:rFonts w:ascii="Cambria" w:hAnsi="Cambria" w:cs="Helvetica"/>
                <w:szCs w:val="24"/>
              </w:rPr>
            </w:pPr>
            <w:r w:rsidRPr="005625D8">
              <w:rPr>
                <w:rFonts w:ascii="Cambria" w:hAnsi="Cambria"/>
                <w:b/>
                <w:bCs/>
                <w:sz w:val="24"/>
                <w:szCs w:val="24"/>
              </w:rPr>
              <w:t>Organizational context:</w:t>
            </w:r>
            <w:r w:rsidR="00D36A7F" w:rsidRPr="005625D8">
              <w:rPr>
                <w:rFonts w:ascii="Cambria" w:hAnsi="Cambria"/>
                <w:b/>
                <w:bCs/>
                <w:sz w:val="24"/>
                <w:szCs w:val="24"/>
              </w:rPr>
              <w:t xml:space="preserve"> </w:t>
            </w:r>
          </w:p>
          <w:p w14:paraId="784EAB9E" w14:textId="3DE70A84" w:rsidR="00D732FC" w:rsidRPr="005625D8" w:rsidRDefault="00D732FC" w:rsidP="005625D8">
            <w:pPr>
              <w:ind w:left="-105"/>
              <w:jc w:val="both"/>
              <w:rPr>
                <w:rFonts w:ascii="Cambria" w:hAnsi="Cambria" w:cs="Helvetica"/>
                <w:szCs w:val="24"/>
              </w:rPr>
            </w:pPr>
            <w:r w:rsidRPr="009442FF">
              <w:rPr>
                <w:rFonts w:ascii="Cambria" w:hAnsi="Cambria" w:cs="Helvetica"/>
                <w:sz w:val="24"/>
                <w:szCs w:val="24"/>
              </w:rPr>
              <w:t>Under the supervision of the Head of the Climate Change and Emergency Telecommunications (CET)</w:t>
            </w:r>
            <w:r w:rsidR="005625D8" w:rsidRPr="009442FF">
              <w:rPr>
                <w:rFonts w:ascii="Cambria" w:hAnsi="Cambria" w:cs="Helvetica"/>
                <w:sz w:val="24"/>
                <w:szCs w:val="24"/>
              </w:rPr>
              <w:t xml:space="preserve"> </w:t>
            </w:r>
            <w:r w:rsidRPr="009442FF">
              <w:rPr>
                <w:rFonts w:ascii="Cambria" w:hAnsi="Cambria" w:cs="Helvetica"/>
                <w:sz w:val="24"/>
                <w:szCs w:val="24"/>
              </w:rPr>
              <w:t>Division and in close cooperation with members of the CET team, the Intern will:</w:t>
            </w:r>
          </w:p>
        </w:tc>
      </w:tr>
    </w:tbl>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3F1B34BC" w:rsidR="003857A7" w:rsidRPr="00D732FC" w:rsidRDefault="00C5422D" w:rsidP="00C25435">
      <w:pPr>
        <w:pStyle w:val="Heading2"/>
        <w:numPr>
          <w:ilvl w:val="0"/>
          <w:numId w:val="12"/>
        </w:numPr>
        <w:spacing w:before="240" w:after="240"/>
        <w:ind w:left="284" w:hanging="284"/>
        <w:jc w:val="both"/>
        <w:rPr>
          <w:lang w:val="en"/>
        </w:rPr>
      </w:pPr>
      <w:r w:rsidRPr="00D732FC">
        <w:rPr>
          <w:rFonts w:ascii="Cambria" w:hAnsi="Cambria"/>
          <w:b/>
          <w:bCs/>
          <w:szCs w:val="24"/>
          <w:u w:val="none"/>
        </w:rPr>
        <w:t>Terms of Reference / Internship Objective</w:t>
      </w:r>
      <w:r w:rsidR="00ED3D4B" w:rsidRPr="00D732FC">
        <w:rPr>
          <w:rFonts w:ascii="Cambria" w:hAnsi="Cambria"/>
          <w:b/>
          <w:bCs/>
          <w:szCs w:val="24"/>
          <w:u w:val="none"/>
        </w:rPr>
        <w:t>:</w:t>
      </w:r>
      <w:r w:rsidR="003857A7" w:rsidRPr="00D732FC">
        <w:rPr>
          <w:rFonts w:ascii="Cambria" w:hAnsi="Cambria"/>
          <w:b/>
          <w:bCs/>
          <w:szCs w:val="24"/>
          <w:u w:val="none"/>
        </w:rPr>
        <w:t xml:space="preserve"> </w:t>
      </w:r>
    </w:p>
    <w:p w14:paraId="4D26F10F" w14:textId="77777777" w:rsidR="00D732FC" w:rsidRDefault="00D732FC" w:rsidP="00735CA9">
      <w:pPr>
        <w:pStyle w:val="ListParagraph"/>
        <w:numPr>
          <w:ilvl w:val="0"/>
          <w:numId w:val="23"/>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Assist with projects aiming at developing electronic waste regulation, with a particular focus on the transition to a circular economy for electronics, in least developed countries and emerging markets.</w:t>
      </w:r>
    </w:p>
    <w:p w14:paraId="69FAB7BF" w14:textId="77777777" w:rsidR="00D732FC" w:rsidRDefault="00D732FC" w:rsidP="00D732FC">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52680F6D" w14:textId="77777777" w:rsidR="00D732FC" w:rsidRDefault="00D732FC" w:rsidP="00735CA9">
      <w:pPr>
        <w:pStyle w:val="ListParagraph"/>
        <w:numPr>
          <w:ilvl w:val="0"/>
          <w:numId w:val="23"/>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Cooperate closely with regional presence of ITU during support for the implementation of electronic waste regulation projects, with the ITU offices in Africa, the Americas, and Asia and the Pacific.</w:t>
      </w:r>
    </w:p>
    <w:p w14:paraId="5A060A56" w14:textId="77777777" w:rsidR="00D732FC" w:rsidRDefault="00D732FC" w:rsidP="00D732FC">
      <w:pPr>
        <w:pStyle w:val="ListParagraph"/>
        <w:shd w:val="clear" w:color="auto" w:fill="FFFFFF"/>
        <w:spacing w:after="0" w:line="240" w:lineRule="auto"/>
        <w:ind w:left="0"/>
        <w:jc w:val="both"/>
        <w:rPr>
          <w:rFonts w:ascii="Cambria" w:eastAsia="Times New Roman" w:hAnsi="Cambria" w:cs="Helvetica"/>
          <w:color w:val="000000"/>
          <w:sz w:val="24"/>
          <w:szCs w:val="24"/>
          <w:lang w:eastAsia="fr-FR"/>
        </w:rPr>
      </w:pPr>
    </w:p>
    <w:p w14:paraId="34C76B12" w14:textId="77777777" w:rsidR="00D732FC" w:rsidRDefault="00D732FC" w:rsidP="00735CA9">
      <w:pPr>
        <w:pStyle w:val="ListParagraph"/>
        <w:numPr>
          <w:ilvl w:val="0"/>
          <w:numId w:val="23"/>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Support the maintenance and updating of ITU databases on the global coverage of e-waste regulation to support the tracking of performance against ITU’s targets.</w:t>
      </w:r>
    </w:p>
    <w:p w14:paraId="0A5B9F75" w14:textId="77777777" w:rsidR="00D732FC" w:rsidRPr="003619C3" w:rsidRDefault="00D732FC" w:rsidP="003619C3">
      <w:pPr>
        <w:shd w:val="clear" w:color="auto" w:fill="FFFFFF"/>
        <w:spacing w:after="0" w:line="240" w:lineRule="auto"/>
        <w:jc w:val="both"/>
        <w:rPr>
          <w:rFonts w:ascii="Cambria" w:eastAsia="Times New Roman" w:hAnsi="Cambria" w:cs="Helvetica"/>
          <w:color w:val="000000"/>
          <w:sz w:val="24"/>
          <w:szCs w:val="24"/>
          <w:lang w:eastAsia="fr-FR"/>
        </w:rPr>
      </w:pPr>
    </w:p>
    <w:p w14:paraId="7800FCE1" w14:textId="77777777" w:rsidR="00D732FC" w:rsidRDefault="00D732FC" w:rsidP="00735CA9">
      <w:pPr>
        <w:pStyle w:val="ListParagraph"/>
        <w:numPr>
          <w:ilvl w:val="0"/>
          <w:numId w:val="23"/>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 xml:space="preserve">Support with the preparation of presentations, briefing notes and official letters as part of the projects, reports and events related to climate change and circular economy. </w:t>
      </w:r>
    </w:p>
    <w:p w14:paraId="58F2387A" w14:textId="77777777" w:rsidR="00D732FC" w:rsidRDefault="00D732FC" w:rsidP="00D732FC">
      <w:pPr>
        <w:pStyle w:val="ListParagraph"/>
        <w:shd w:val="clear" w:color="auto" w:fill="FFFFFF"/>
        <w:spacing w:after="0" w:line="240" w:lineRule="auto"/>
        <w:ind w:left="360"/>
        <w:jc w:val="both"/>
        <w:rPr>
          <w:rFonts w:ascii="Cambria" w:eastAsia="Times New Roman" w:hAnsi="Cambria" w:cs="Helvetica"/>
          <w:color w:val="000000"/>
          <w:sz w:val="24"/>
          <w:szCs w:val="24"/>
          <w:lang w:eastAsia="fr-FR"/>
        </w:rPr>
      </w:pPr>
    </w:p>
    <w:p w14:paraId="5F6D7A28" w14:textId="77777777" w:rsidR="00D732FC" w:rsidRDefault="00D732FC" w:rsidP="00735CA9">
      <w:pPr>
        <w:pStyle w:val="ListParagraph"/>
        <w:numPr>
          <w:ilvl w:val="0"/>
          <w:numId w:val="23"/>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 xml:space="preserve">Participate in meetings and workshops with public and private sector stakeholders in person and online, as part of the consultative process undertaken to develop e-waste regulation. </w:t>
      </w:r>
    </w:p>
    <w:p w14:paraId="6ACCDFD8" w14:textId="77777777" w:rsidR="003619C3" w:rsidRPr="003619C3" w:rsidRDefault="003619C3" w:rsidP="003619C3">
      <w:pPr>
        <w:pStyle w:val="ListParagraph"/>
        <w:rPr>
          <w:rFonts w:ascii="Cambria" w:eastAsia="Times New Roman" w:hAnsi="Cambria" w:cs="Helvetica"/>
          <w:color w:val="000000"/>
          <w:sz w:val="24"/>
          <w:szCs w:val="24"/>
          <w:lang w:eastAsia="fr-FR"/>
        </w:rPr>
      </w:pPr>
    </w:p>
    <w:p w14:paraId="5E8A29EC" w14:textId="5962AC10" w:rsidR="003619C3" w:rsidRDefault="003619C3" w:rsidP="003619C3">
      <w:pPr>
        <w:pStyle w:val="ListParagraph"/>
        <w:numPr>
          <w:ilvl w:val="0"/>
          <w:numId w:val="23"/>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 xml:space="preserve">Assist with the preparation and the implementation of ITU projects, trainings and research publications related to climate change, in the areas of greenhouse gas emissions data collection and climate resilient digital infrastructure. </w:t>
      </w:r>
    </w:p>
    <w:p w14:paraId="75773D2A" w14:textId="77777777" w:rsidR="003619C3" w:rsidRPr="003619C3" w:rsidRDefault="003619C3" w:rsidP="003619C3">
      <w:pPr>
        <w:pStyle w:val="ListParagraph"/>
        <w:rPr>
          <w:rFonts w:ascii="Cambria" w:eastAsia="Times New Roman" w:hAnsi="Cambria" w:cs="Helvetica"/>
          <w:color w:val="000000"/>
          <w:sz w:val="24"/>
          <w:szCs w:val="24"/>
          <w:lang w:eastAsia="fr-FR"/>
        </w:rPr>
      </w:pPr>
    </w:p>
    <w:p w14:paraId="7A726CD0" w14:textId="06023CA9" w:rsidR="003619C3" w:rsidRDefault="003619C3" w:rsidP="003619C3">
      <w:pPr>
        <w:pStyle w:val="ListParagraph"/>
        <w:numPr>
          <w:ilvl w:val="0"/>
          <w:numId w:val="23"/>
        </w:numPr>
        <w:shd w:val="clear" w:color="auto" w:fill="FFFFFF"/>
        <w:spacing w:after="0" w:line="240" w:lineRule="auto"/>
        <w:jc w:val="both"/>
        <w:rPr>
          <w:rFonts w:ascii="Cambria" w:eastAsia="Times New Roman" w:hAnsi="Cambria" w:cs="Helvetica"/>
          <w:color w:val="000000"/>
          <w:sz w:val="24"/>
          <w:szCs w:val="24"/>
          <w:lang w:eastAsia="fr-FR"/>
        </w:rPr>
      </w:pPr>
      <w:r w:rsidRPr="003619C3">
        <w:rPr>
          <w:rFonts w:ascii="Cambria" w:eastAsia="Times New Roman" w:hAnsi="Cambria" w:cs="Helvetica"/>
          <w:color w:val="000000"/>
          <w:sz w:val="24"/>
          <w:szCs w:val="24"/>
          <w:lang w:eastAsia="fr-FR"/>
        </w:rPr>
        <w:lastRenderedPageBreak/>
        <w:t>Support the</w:t>
      </w:r>
      <w:r>
        <w:rPr>
          <w:rFonts w:ascii="Cambria" w:eastAsia="Times New Roman" w:hAnsi="Cambria" w:cs="Helvetica"/>
          <w:color w:val="000000"/>
          <w:sz w:val="24"/>
          <w:szCs w:val="24"/>
          <w:lang w:eastAsia="fr-FR"/>
        </w:rPr>
        <w:t xml:space="preserve"> annual update of the Greening Digital</w:t>
      </w:r>
      <w:r w:rsidRPr="003619C3">
        <w:rPr>
          <w:rFonts w:ascii="Cambria" w:eastAsia="Times New Roman" w:hAnsi="Cambria" w:cs="Helvetica"/>
          <w:color w:val="000000"/>
          <w:sz w:val="24"/>
          <w:szCs w:val="24"/>
          <w:lang w:eastAsia="fr-FR"/>
        </w:rPr>
        <w:t xml:space="preserve"> data visualization dashboard to track the climate footprint </w:t>
      </w:r>
      <w:r>
        <w:rPr>
          <w:rFonts w:ascii="Cambria" w:eastAsia="Times New Roman" w:hAnsi="Cambria" w:cs="Helvetica"/>
          <w:color w:val="000000"/>
          <w:sz w:val="24"/>
          <w:szCs w:val="24"/>
          <w:lang w:eastAsia="fr-FR"/>
        </w:rPr>
        <w:t xml:space="preserve">and climate commitments </w:t>
      </w:r>
      <w:r w:rsidRPr="003619C3">
        <w:rPr>
          <w:rFonts w:ascii="Cambria" w:eastAsia="Times New Roman" w:hAnsi="Cambria" w:cs="Helvetica"/>
          <w:color w:val="000000"/>
          <w:sz w:val="24"/>
          <w:szCs w:val="24"/>
          <w:lang w:eastAsia="fr-FR"/>
        </w:rPr>
        <w:t>of the digital sector.</w:t>
      </w:r>
    </w:p>
    <w:p w14:paraId="3BABCA9F" w14:textId="77777777" w:rsidR="003619C3" w:rsidRPr="003619C3" w:rsidRDefault="003619C3" w:rsidP="003619C3">
      <w:pPr>
        <w:shd w:val="clear" w:color="auto" w:fill="FFFFFF"/>
        <w:spacing w:after="0" w:line="240" w:lineRule="auto"/>
        <w:jc w:val="both"/>
        <w:rPr>
          <w:rFonts w:ascii="Cambria" w:eastAsia="Times New Roman" w:hAnsi="Cambria" w:cs="Helvetica"/>
          <w:color w:val="000000"/>
          <w:sz w:val="24"/>
          <w:szCs w:val="24"/>
          <w:lang w:eastAsia="fr-FR"/>
        </w:rPr>
      </w:pPr>
    </w:p>
    <w:p w14:paraId="5786D602" w14:textId="2C66F350" w:rsidR="003619C3" w:rsidRDefault="003619C3" w:rsidP="00735CA9">
      <w:pPr>
        <w:pStyle w:val="ListParagraph"/>
        <w:numPr>
          <w:ilvl w:val="0"/>
          <w:numId w:val="23"/>
        </w:numPr>
        <w:shd w:val="clear" w:color="auto" w:fill="FFFFFF"/>
        <w:spacing w:after="0" w:line="240" w:lineRule="auto"/>
        <w:jc w:val="both"/>
        <w:rPr>
          <w:rFonts w:ascii="Cambria" w:eastAsia="Times New Roman" w:hAnsi="Cambria" w:cs="Helvetica"/>
          <w:color w:val="000000"/>
          <w:sz w:val="24"/>
          <w:szCs w:val="24"/>
          <w:lang w:eastAsia="fr-FR"/>
        </w:rPr>
      </w:pPr>
      <w:r w:rsidRPr="003619C3">
        <w:rPr>
          <w:rFonts w:ascii="Cambria" w:eastAsia="Times New Roman" w:hAnsi="Cambria" w:cs="Helvetica"/>
          <w:color w:val="000000"/>
          <w:sz w:val="24"/>
          <w:szCs w:val="24"/>
          <w:lang w:eastAsia="fr-FR"/>
        </w:rPr>
        <w:t>Assist in coordinating the Early Warning for All Initiative Artificial Intelligence Sub-Group, including engaging members and organizing sessions at global climate and AI events.</w:t>
      </w:r>
    </w:p>
    <w:p w14:paraId="23729086" w14:textId="77777777" w:rsidR="003619C3" w:rsidRPr="003619C3" w:rsidRDefault="003619C3" w:rsidP="003619C3">
      <w:pPr>
        <w:pStyle w:val="ListParagraph"/>
        <w:rPr>
          <w:rFonts w:ascii="Cambria" w:eastAsia="Times New Roman" w:hAnsi="Cambria" w:cs="Helvetica"/>
          <w:color w:val="000000"/>
          <w:sz w:val="24"/>
          <w:szCs w:val="24"/>
          <w:lang w:eastAsia="fr-FR"/>
        </w:rPr>
      </w:pPr>
    </w:p>
    <w:p w14:paraId="45387F25" w14:textId="378DAD77" w:rsidR="003619C3" w:rsidRPr="003619C3" w:rsidRDefault="003619C3" w:rsidP="003619C3">
      <w:pPr>
        <w:pStyle w:val="ListParagraph"/>
        <w:numPr>
          <w:ilvl w:val="0"/>
          <w:numId w:val="23"/>
        </w:numPr>
        <w:shd w:val="clear" w:color="auto" w:fill="FFFFFF"/>
        <w:spacing w:after="0" w:line="240" w:lineRule="auto"/>
        <w:jc w:val="both"/>
        <w:rPr>
          <w:rFonts w:ascii="Cambria" w:eastAsia="Times New Roman" w:hAnsi="Cambria" w:cs="Helvetica"/>
          <w:color w:val="000000"/>
          <w:sz w:val="24"/>
          <w:szCs w:val="24"/>
          <w:lang w:eastAsia="fr-FR"/>
        </w:rPr>
      </w:pPr>
      <w:r>
        <w:rPr>
          <w:rFonts w:ascii="Cambria" w:eastAsia="Times New Roman" w:hAnsi="Cambria" w:cs="Helvetica"/>
          <w:color w:val="000000"/>
          <w:sz w:val="24"/>
          <w:szCs w:val="24"/>
          <w:lang w:eastAsia="fr-FR"/>
        </w:rPr>
        <w:t xml:space="preserve">Assist with the preparation of communications and awareness materials, related to the implementation of ITU projects, reports and events on climate change and circular economy, including through ArcGIS </w:t>
      </w:r>
      <w:proofErr w:type="spellStart"/>
      <w:r>
        <w:rPr>
          <w:rFonts w:ascii="Cambria" w:eastAsia="Times New Roman" w:hAnsi="Cambria" w:cs="Helvetica"/>
          <w:color w:val="000000"/>
          <w:sz w:val="24"/>
          <w:szCs w:val="24"/>
          <w:lang w:eastAsia="fr-FR"/>
        </w:rPr>
        <w:t>StoryMaps</w:t>
      </w:r>
      <w:proofErr w:type="spellEnd"/>
      <w:r>
        <w:rPr>
          <w:rFonts w:ascii="Cambria" w:eastAsia="Times New Roman" w:hAnsi="Cambria" w:cs="Helvetica"/>
          <w:color w:val="000000"/>
          <w:sz w:val="24"/>
          <w:szCs w:val="24"/>
          <w:lang w:eastAsia="fr-FR"/>
        </w:rPr>
        <w:t xml:space="preserve">. </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528C94B5" w14:textId="77777777" w:rsidR="00735CA9" w:rsidRDefault="003857A7" w:rsidP="00735CA9">
      <w:pPr>
        <w:jc w:val="both"/>
        <w:rPr>
          <w:rFonts w:ascii="Cambria" w:eastAsia="Times New Roman" w:hAnsi="Cambria" w:cs="Arial"/>
          <w:color w:val="000000"/>
          <w:sz w:val="24"/>
          <w:szCs w:val="24"/>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1133DE8B" w14:textId="77DC1E8A" w:rsidR="00D732FC" w:rsidRPr="00735CA9" w:rsidRDefault="00D732FC" w:rsidP="00735CA9">
      <w:pPr>
        <w:pStyle w:val="ListParagraph"/>
        <w:numPr>
          <w:ilvl w:val="0"/>
          <w:numId w:val="26"/>
        </w:numPr>
        <w:jc w:val="both"/>
        <w:rPr>
          <w:rFonts w:ascii="Cambria" w:hAnsi="Cambria" w:cs="Verdana"/>
          <w:color w:val="000000"/>
          <w:sz w:val="24"/>
          <w:szCs w:val="24"/>
        </w:rPr>
      </w:pPr>
      <w:r w:rsidRPr="00735CA9">
        <w:rPr>
          <w:rFonts w:ascii="Cambria" w:hAnsi="Cambria" w:cs="Verdana"/>
          <w:color w:val="000000"/>
          <w:sz w:val="24"/>
          <w:szCs w:val="24"/>
        </w:rPr>
        <w:t>Knowledge of environmental issues, particularly relating to circular economy and climate change.</w:t>
      </w:r>
    </w:p>
    <w:p w14:paraId="624835C0" w14:textId="7B29CC8B" w:rsidR="00D732FC" w:rsidRPr="00D732FC" w:rsidRDefault="00D732FC" w:rsidP="00735CA9">
      <w:pPr>
        <w:pStyle w:val="Default"/>
        <w:numPr>
          <w:ilvl w:val="0"/>
          <w:numId w:val="24"/>
        </w:numPr>
        <w:spacing w:before="120"/>
        <w:rPr>
          <w:rFonts w:ascii="Cambria" w:hAnsi="Cambria"/>
        </w:rPr>
      </w:pPr>
      <w:r w:rsidRPr="00D732FC">
        <w:rPr>
          <w:rFonts w:ascii="Cambria" w:hAnsi="Cambria"/>
        </w:rPr>
        <w:t xml:space="preserve">Familiarity or willingness to learn how to use online applications and social media. </w:t>
      </w:r>
    </w:p>
    <w:p w14:paraId="311B3410" w14:textId="39BD2C6F" w:rsidR="00D732FC" w:rsidRPr="00D732FC" w:rsidRDefault="00D732FC" w:rsidP="00735CA9">
      <w:pPr>
        <w:pStyle w:val="Default"/>
        <w:numPr>
          <w:ilvl w:val="0"/>
          <w:numId w:val="24"/>
        </w:numPr>
        <w:spacing w:before="120"/>
        <w:rPr>
          <w:rFonts w:ascii="Cambria" w:hAnsi="Cambria"/>
        </w:rPr>
      </w:pPr>
      <w:r w:rsidRPr="00D732FC">
        <w:rPr>
          <w:rFonts w:ascii="Cambria" w:hAnsi="Cambria"/>
        </w:rPr>
        <w:t>Ability to draft clear and concise documentation with good written and oral language skills.</w:t>
      </w:r>
    </w:p>
    <w:p w14:paraId="7BA9279F" w14:textId="3EC15B80" w:rsidR="00D732FC" w:rsidRPr="00D732FC" w:rsidRDefault="00D732FC" w:rsidP="00735CA9">
      <w:pPr>
        <w:pStyle w:val="Default"/>
        <w:numPr>
          <w:ilvl w:val="0"/>
          <w:numId w:val="24"/>
        </w:numPr>
        <w:spacing w:before="120"/>
        <w:rPr>
          <w:rFonts w:ascii="Cambria" w:hAnsi="Cambria"/>
        </w:rPr>
      </w:pPr>
      <w:r>
        <w:rPr>
          <w:rFonts w:ascii="Cambria" w:hAnsi="Cambria"/>
        </w:rPr>
        <w:t>G</w:t>
      </w:r>
      <w:r w:rsidRPr="00D732FC">
        <w:rPr>
          <w:rFonts w:ascii="Cambria" w:hAnsi="Cambria"/>
        </w:rPr>
        <w:t>ood interpersonal skills, willingness to work collaboratively with colleagues and ask questions to clarify work.</w:t>
      </w:r>
    </w:p>
    <w:p w14:paraId="08010D92" w14:textId="77777777" w:rsidR="009F5CD7" w:rsidRPr="009F5CD7" w:rsidRDefault="009F5CD7"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4971F58C" w14:textId="77777777" w:rsidR="00735CA9" w:rsidRDefault="00735CA9" w:rsidP="00735CA9">
      <w:pPr>
        <w:shd w:val="clear" w:color="auto" w:fill="FFFFFF"/>
        <w:spacing w:after="0" w:line="240" w:lineRule="auto"/>
        <w:jc w:val="both"/>
        <w:rPr>
          <w:rFonts w:ascii="Cambria" w:eastAsia="Times New Roman" w:hAnsi="Cambria" w:cs="Helvetica"/>
          <w:color w:val="000000"/>
          <w:sz w:val="24"/>
          <w:szCs w:val="24"/>
          <w:lang w:eastAsia="fr-FR"/>
        </w:rPr>
      </w:pPr>
    </w:p>
    <w:p w14:paraId="6443C3C1" w14:textId="005B4BA7" w:rsidR="00735CA9" w:rsidRPr="00735CA9" w:rsidRDefault="00735CA9" w:rsidP="00735CA9">
      <w:pPr>
        <w:shd w:val="clear" w:color="auto" w:fill="FFFFFF"/>
        <w:spacing w:after="0" w:line="240" w:lineRule="auto"/>
        <w:jc w:val="both"/>
        <w:rPr>
          <w:rFonts w:ascii="Cambria" w:eastAsia="Times New Roman" w:hAnsi="Cambria" w:cs="Helvetica"/>
          <w:color w:val="000000"/>
          <w:sz w:val="24"/>
          <w:szCs w:val="24"/>
          <w:lang w:eastAsia="fr-FR"/>
        </w:rPr>
      </w:pPr>
      <w:r w:rsidRPr="00735CA9">
        <w:rPr>
          <w:rFonts w:ascii="Cambria" w:eastAsia="Times New Roman" w:hAnsi="Cambria" w:cs="Helvetica"/>
          <w:color w:val="000000"/>
          <w:sz w:val="24"/>
          <w:szCs w:val="24"/>
          <w:lang w:eastAsia="fr-FR"/>
        </w:rPr>
        <w:t>University degree (or completing an advanced University degree) in the areas of global environmental governance and sustainable development or environmental studies, or an equivalent level of education and specialization in a relevant 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3547350E" w14:textId="554C7558" w:rsidR="005F4A50" w:rsidRPr="00735CA9" w:rsidRDefault="00ED3D4B" w:rsidP="00BA43AC">
      <w:pPr>
        <w:pStyle w:val="ListParagraph"/>
        <w:numPr>
          <w:ilvl w:val="0"/>
          <w:numId w:val="13"/>
        </w:numPr>
        <w:snapToGrid w:val="0"/>
        <w:spacing w:before="120"/>
        <w:ind w:right="-360"/>
        <w:jc w:val="both"/>
        <w:rPr>
          <w:rFonts w:ascii="Cambria" w:hAnsi="Cambria"/>
          <w:b/>
          <w:bCs/>
          <w:szCs w:val="24"/>
        </w:rPr>
      </w:pPr>
      <w:r w:rsidRPr="00735CA9">
        <w:rPr>
          <w:rFonts w:ascii="Cambria" w:hAnsi="Cambria"/>
          <w:b/>
          <w:sz w:val="24"/>
          <w:szCs w:val="24"/>
        </w:rPr>
        <w:t>Languages:</w:t>
      </w:r>
      <w:r w:rsidRPr="00735CA9">
        <w:rPr>
          <w:rFonts w:ascii="Cambria" w:hAnsi="Cambria"/>
          <w:b/>
          <w:sz w:val="24"/>
          <w:szCs w:val="24"/>
          <w:u w:val="single"/>
        </w:rPr>
        <w:t xml:space="preserve"> </w:t>
      </w:r>
    </w:p>
    <w:p w14:paraId="07E712CC" w14:textId="043C3C52" w:rsidR="00735CA9" w:rsidRPr="009442FF" w:rsidRDefault="00735CA9" w:rsidP="00735CA9">
      <w:pPr>
        <w:snapToGrid w:val="0"/>
        <w:spacing w:before="120"/>
        <w:ind w:right="-360"/>
        <w:jc w:val="both"/>
        <w:rPr>
          <w:rFonts w:ascii="Cambria" w:eastAsia="Times New Roman" w:hAnsi="Cambria" w:cs="Arial"/>
          <w:color w:val="000000"/>
          <w:sz w:val="24"/>
          <w:szCs w:val="24"/>
        </w:rPr>
      </w:pPr>
      <w:r w:rsidRPr="009442FF">
        <w:rPr>
          <w:rFonts w:ascii="Cambria" w:eastAsia="Times New Roman" w:hAnsi="Cambria" w:cs="Arial"/>
          <w:color w:val="000000"/>
          <w:sz w:val="24"/>
          <w:szCs w:val="24"/>
        </w:rPr>
        <w:t>Proven fluency in oral and written English is a requirement. Knowledge of French and/or Spanish is an additional advantage.</w:t>
      </w:r>
    </w:p>
    <w:p w14:paraId="07CB2099" w14:textId="77777777" w:rsidR="00ED3D4B" w:rsidRPr="005F4A50" w:rsidRDefault="00ED3D4B" w:rsidP="00735CA9">
      <w:pPr>
        <w:pStyle w:val="ListParagraph"/>
        <w:numPr>
          <w:ilvl w:val="0"/>
          <w:numId w:val="13"/>
        </w:numPr>
        <w:snapToGrid w:val="0"/>
        <w:spacing w:before="120"/>
        <w:ind w:right="-360"/>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21639D4D" w14:textId="77777777" w:rsidR="00735CA9" w:rsidRDefault="00735CA9" w:rsidP="007A6C06">
      <w:pPr>
        <w:snapToGrid w:val="0"/>
        <w:spacing w:before="120" w:after="0" w:line="240" w:lineRule="auto"/>
        <w:jc w:val="both"/>
        <w:rPr>
          <w:rFonts w:ascii="Cambria" w:hAnsi="Cambria"/>
          <w:sz w:val="24"/>
          <w:szCs w:val="24"/>
        </w:rPr>
      </w:pPr>
    </w:p>
    <w:p w14:paraId="545D9A71" w14:textId="2D142E3B" w:rsidR="00735CA9" w:rsidRPr="00735CA9" w:rsidRDefault="00735CA9" w:rsidP="00735CA9">
      <w:pPr>
        <w:numPr>
          <w:ilvl w:val="0"/>
          <w:numId w:val="25"/>
        </w:numPr>
        <w:jc w:val="both"/>
        <w:rPr>
          <w:rFonts w:ascii="Cambria" w:hAnsi="Cambria"/>
          <w:sz w:val="24"/>
          <w:szCs w:val="24"/>
        </w:rPr>
      </w:pPr>
      <w:r w:rsidRPr="00735CA9">
        <w:rPr>
          <w:rFonts w:ascii="Cambria" w:hAnsi="Cambria"/>
          <w:sz w:val="24"/>
          <w:szCs w:val="24"/>
        </w:rPr>
        <w:t>The circular economy principles and their application in the development and implementation of regulation, especially for the electronic waste stream.</w:t>
      </w:r>
    </w:p>
    <w:p w14:paraId="1EE92E1D" w14:textId="539CF0FE" w:rsidR="00735CA9" w:rsidRPr="00735CA9" w:rsidRDefault="00735CA9" w:rsidP="00735CA9">
      <w:pPr>
        <w:numPr>
          <w:ilvl w:val="0"/>
          <w:numId w:val="25"/>
        </w:numPr>
        <w:jc w:val="both"/>
        <w:rPr>
          <w:rFonts w:ascii="Cambria" w:hAnsi="Cambria"/>
          <w:sz w:val="24"/>
          <w:szCs w:val="24"/>
        </w:rPr>
      </w:pPr>
      <w:r w:rsidRPr="00735CA9">
        <w:rPr>
          <w:rFonts w:ascii="Cambria" w:hAnsi="Cambria"/>
          <w:sz w:val="24"/>
          <w:szCs w:val="24"/>
        </w:rPr>
        <w:lastRenderedPageBreak/>
        <w:t>The methodologies used to collect data and to measure and monitor the greenhouse gas emissions and the e-waste generated from the ICT sector globally.</w:t>
      </w:r>
    </w:p>
    <w:p w14:paraId="729ADB8F" w14:textId="77777777" w:rsidR="00735CA9" w:rsidRPr="00735CA9" w:rsidRDefault="00735CA9" w:rsidP="00735CA9">
      <w:pPr>
        <w:numPr>
          <w:ilvl w:val="0"/>
          <w:numId w:val="25"/>
        </w:numPr>
        <w:jc w:val="both"/>
        <w:rPr>
          <w:rFonts w:ascii="Cambria" w:hAnsi="Cambria"/>
          <w:sz w:val="24"/>
          <w:szCs w:val="24"/>
        </w:rPr>
      </w:pPr>
      <w:r w:rsidRPr="00735CA9">
        <w:rPr>
          <w:rFonts w:ascii="Cambria" w:hAnsi="Cambria"/>
          <w:sz w:val="24"/>
          <w:szCs w:val="24"/>
        </w:rPr>
        <w:t xml:space="preserve">Interpersonal and communication skills between and international organization and national governments and ICT sector and electronics industry players. </w:t>
      </w:r>
    </w:p>
    <w:p w14:paraId="4FA3A58D" w14:textId="77777777" w:rsidR="007A6C06" w:rsidRPr="00564C05" w:rsidRDefault="007A6C06" w:rsidP="007A6C06">
      <w:pPr>
        <w:jc w:val="both"/>
        <w:rPr>
          <w:rFonts w:ascii="Cambria" w:hAnsi="Cambria" w:cstheme="minorHAnsi"/>
          <w:sz w:val="24"/>
          <w:szCs w:val="24"/>
        </w:rPr>
      </w:pPr>
    </w:p>
    <w:p w14:paraId="08AA5B7A" w14:textId="27A6C19F" w:rsidR="00735CA9" w:rsidRPr="005625D8" w:rsidRDefault="001B6438" w:rsidP="005625D8">
      <w:pPr>
        <w:pStyle w:val="ListParagraph"/>
        <w:numPr>
          <w:ilvl w:val="0"/>
          <w:numId w:val="12"/>
        </w:numPr>
        <w:jc w:val="both"/>
        <w:rPr>
          <w:rFonts w:ascii="Cambria" w:hAnsi="Cambria" w:cs="Verdana"/>
          <w:bCs/>
          <w:i/>
          <w:color w:val="000000"/>
          <w:sz w:val="20"/>
          <w:szCs w:val="20"/>
        </w:rPr>
      </w:pPr>
      <w:r w:rsidRPr="005625D8">
        <w:rPr>
          <w:rFonts w:ascii="Cambria" w:hAnsi="Cambria" w:cs="Verdana"/>
          <w:b/>
          <w:bCs/>
          <w:color w:val="000000"/>
          <w:sz w:val="24"/>
          <w:szCs w:val="24"/>
        </w:rPr>
        <w:t xml:space="preserve">Additional information </w:t>
      </w:r>
    </w:p>
    <w:p w14:paraId="0673E7BA" w14:textId="77777777" w:rsidR="00735CA9" w:rsidRDefault="00735CA9" w:rsidP="00735CA9">
      <w:pPr>
        <w:pStyle w:val="ListParagraph"/>
        <w:ind w:left="284"/>
        <w:jc w:val="both"/>
        <w:rPr>
          <w:rFonts w:ascii="Cambria" w:hAnsi="Cambria" w:cs="Verdana"/>
          <w:b/>
          <w:bCs/>
          <w:color w:val="000000"/>
          <w:sz w:val="24"/>
          <w:szCs w:val="24"/>
        </w:rPr>
      </w:pPr>
    </w:p>
    <w:p w14:paraId="78554CAF" w14:textId="0A8409AD" w:rsidR="001B6438" w:rsidRPr="00735CA9" w:rsidRDefault="00735CA9" w:rsidP="00735CA9">
      <w:pPr>
        <w:pStyle w:val="ListParagraph"/>
        <w:ind w:left="284"/>
        <w:jc w:val="both"/>
        <w:rPr>
          <w:rFonts w:ascii="Cambria" w:hAnsi="Cambria" w:cs="Verdana"/>
          <w:bCs/>
          <w:i/>
          <w:color w:val="000000"/>
          <w:sz w:val="20"/>
          <w:szCs w:val="20"/>
        </w:rPr>
      </w:pPr>
      <w:r w:rsidRPr="00735CA9">
        <w:rPr>
          <w:rFonts w:ascii="Cambria" w:hAnsi="Cambria" w:cstheme="minorHAnsi"/>
          <w:sz w:val="24"/>
          <w:szCs w:val="24"/>
        </w:rPr>
        <w:t>Candidates with experience and knowledge in practical areas related to environmental issues would be preferred but the same in communication and awareness around environmental issues would also be considered.</w:t>
      </w:r>
    </w:p>
    <w:sectPr w:rsidR="001B6438" w:rsidRPr="00735CA9"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39879" w14:textId="77777777" w:rsidR="00E64CBA" w:rsidRDefault="00E64CBA" w:rsidP="00EB1589">
      <w:pPr>
        <w:spacing w:after="0" w:line="240" w:lineRule="auto"/>
      </w:pPr>
      <w:r>
        <w:separator/>
      </w:r>
    </w:p>
  </w:endnote>
  <w:endnote w:type="continuationSeparator" w:id="0">
    <w:p w14:paraId="04E31ED1" w14:textId="77777777" w:rsidR="00E64CBA" w:rsidRDefault="00E64CBA"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E46FA" w14:textId="77777777" w:rsidR="00E64CBA" w:rsidRDefault="00E64CBA" w:rsidP="00EB1589">
      <w:pPr>
        <w:spacing w:after="0" w:line="240" w:lineRule="auto"/>
      </w:pPr>
      <w:r>
        <w:separator/>
      </w:r>
    </w:p>
  </w:footnote>
  <w:footnote w:type="continuationSeparator" w:id="0">
    <w:p w14:paraId="2CF7197B" w14:textId="77777777" w:rsidR="00E64CBA" w:rsidRDefault="00E64CBA"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345E2"/>
    <w:multiLevelType w:val="hybridMultilevel"/>
    <w:tmpl w:val="B6B8508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D3F3B"/>
    <w:multiLevelType w:val="hybridMultilevel"/>
    <w:tmpl w:val="79E6C87E"/>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 w15:restartNumberingAfterBreak="0">
    <w:nsid w:val="17B53220"/>
    <w:multiLevelType w:val="hybridMultilevel"/>
    <w:tmpl w:val="0472C478"/>
    <w:lvl w:ilvl="0" w:tplc="E1AC132E">
      <w:start w:val="1"/>
      <w:numFmt w:val="upperLetter"/>
      <w:lvlText w:val="%1."/>
      <w:lvlJc w:val="left"/>
      <w:pPr>
        <w:ind w:left="36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4C6F39"/>
    <w:multiLevelType w:val="hybridMultilevel"/>
    <w:tmpl w:val="549AF020"/>
    <w:lvl w:ilvl="0" w:tplc="E00E0764">
      <w:start w:val="14"/>
      <w:numFmt w:val="bullet"/>
      <w:lvlText w:val="-"/>
      <w:lvlJc w:val="left"/>
      <w:pPr>
        <w:ind w:left="720" w:hanging="360"/>
      </w:pPr>
      <w:rPr>
        <w:rFonts w:ascii="Cambria" w:eastAsiaTheme="minorEastAsia" w:hAnsi="Cambria" w:cs="Helvetica" w:hint="default"/>
        <w:b/>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366CD6"/>
    <w:multiLevelType w:val="hybridMultilevel"/>
    <w:tmpl w:val="5982663C"/>
    <w:lvl w:ilvl="0" w:tplc="E00E0764">
      <w:start w:val="14"/>
      <w:numFmt w:val="bullet"/>
      <w:lvlText w:val="-"/>
      <w:lvlJc w:val="left"/>
      <w:pPr>
        <w:ind w:left="720" w:hanging="360"/>
      </w:pPr>
      <w:rPr>
        <w:rFonts w:ascii="Cambria" w:eastAsiaTheme="minorEastAsia" w:hAnsi="Cambri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F36CDF"/>
    <w:multiLevelType w:val="hybridMultilevel"/>
    <w:tmpl w:val="FEF6EB5C"/>
    <w:lvl w:ilvl="0" w:tplc="E00E0764">
      <w:start w:val="14"/>
      <w:numFmt w:val="bullet"/>
      <w:lvlText w:val="-"/>
      <w:lvlJc w:val="left"/>
      <w:pPr>
        <w:ind w:left="720" w:hanging="360"/>
      </w:pPr>
      <w:rPr>
        <w:rFonts w:ascii="Cambria" w:eastAsiaTheme="minorEastAsia" w:hAnsi="Cambri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9103E6"/>
    <w:multiLevelType w:val="hybridMultilevel"/>
    <w:tmpl w:val="BC860B48"/>
    <w:lvl w:ilvl="0" w:tplc="08090001">
      <w:start w:val="1"/>
      <w:numFmt w:val="bullet"/>
      <w:lvlText w:val=""/>
      <w:lvlJc w:val="left"/>
      <w:pPr>
        <w:ind w:left="720" w:hanging="360"/>
      </w:pPr>
      <w:rPr>
        <w:rFonts w:ascii="Symbol" w:hAnsi="Symbol" w:hint="default"/>
        <w:b/>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F8413E"/>
    <w:multiLevelType w:val="hybridMultilevel"/>
    <w:tmpl w:val="2EF26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0F60CB"/>
    <w:multiLevelType w:val="hybridMultilevel"/>
    <w:tmpl w:val="60425FF2"/>
    <w:lvl w:ilvl="0" w:tplc="E00E0764">
      <w:start w:val="14"/>
      <w:numFmt w:val="bullet"/>
      <w:lvlText w:val="-"/>
      <w:lvlJc w:val="left"/>
      <w:pPr>
        <w:ind w:left="360" w:hanging="360"/>
      </w:pPr>
      <w:rPr>
        <w:rFonts w:ascii="Cambria" w:eastAsiaTheme="minorEastAsia" w:hAnsi="Cambria" w:cs="Helvetica"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5" w15:restartNumberingAfterBreak="0">
    <w:nsid w:val="4FB644CF"/>
    <w:multiLevelType w:val="hybridMultilevel"/>
    <w:tmpl w:val="E5323D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73448F"/>
    <w:multiLevelType w:val="hybridMultilevel"/>
    <w:tmpl w:val="290E88B8"/>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68539B"/>
    <w:multiLevelType w:val="hybridMultilevel"/>
    <w:tmpl w:val="BF4A01A8"/>
    <w:lvl w:ilvl="0" w:tplc="B08A4C40">
      <w:start w:val="14"/>
      <w:numFmt w:val="bullet"/>
      <w:lvlText w:val="-"/>
      <w:lvlJc w:val="left"/>
      <w:pPr>
        <w:ind w:left="720" w:hanging="360"/>
      </w:pPr>
      <w:rPr>
        <w:rFonts w:ascii="Cambria" w:eastAsiaTheme="minorEastAsia" w:hAnsi="Cambri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15:restartNumberingAfterBreak="0">
    <w:nsid w:val="7D1F5A11"/>
    <w:multiLevelType w:val="hybridMultilevel"/>
    <w:tmpl w:val="63203C2A"/>
    <w:lvl w:ilvl="0" w:tplc="E00E0764">
      <w:start w:val="14"/>
      <w:numFmt w:val="bullet"/>
      <w:lvlText w:val="-"/>
      <w:lvlJc w:val="left"/>
      <w:pPr>
        <w:ind w:left="360" w:hanging="360"/>
      </w:pPr>
      <w:rPr>
        <w:rFonts w:ascii="Cambria" w:eastAsiaTheme="minorEastAsia" w:hAnsi="Cambria" w:cs="Helvetica"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num w:numId="1" w16cid:durableId="410277579">
    <w:abstractNumId w:val="8"/>
  </w:num>
  <w:num w:numId="2" w16cid:durableId="2080520469">
    <w:abstractNumId w:val="20"/>
  </w:num>
  <w:num w:numId="3" w16cid:durableId="1010371184">
    <w:abstractNumId w:val="22"/>
  </w:num>
  <w:num w:numId="4" w16cid:durableId="838807718">
    <w:abstractNumId w:val="4"/>
  </w:num>
  <w:num w:numId="5" w16cid:durableId="481047802">
    <w:abstractNumId w:val="13"/>
  </w:num>
  <w:num w:numId="6" w16cid:durableId="1964269443">
    <w:abstractNumId w:val="1"/>
  </w:num>
  <w:num w:numId="7" w16cid:durableId="468403368">
    <w:abstractNumId w:val="23"/>
  </w:num>
  <w:num w:numId="8" w16cid:durableId="1591889622">
    <w:abstractNumId w:val="18"/>
  </w:num>
  <w:num w:numId="9" w16cid:durableId="500896963">
    <w:abstractNumId w:val="16"/>
  </w:num>
  <w:num w:numId="10" w16cid:durableId="368845409">
    <w:abstractNumId w:val="19"/>
  </w:num>
  <w:num w:numId="11" w16cid:durableId="1741832073">
    <w:abstractNumId w:val="7"/>
  </w:num>
  <w:num w:numId="12" w16cid:durableId="1162231846">
    <w:abstractNumId w:val="5"/>
  </w:num>
  <w:num w:numId="13" w16cid:durableId="148181075">
    <w:abstractNumId w:val="2"/>
  </w:num>
  <w:num w:numId="14" w16cid:durableId="1269385012">
    <w:abstractNumId w:val="24"/>
  </w:num>
  <w:num w:numId="15" w16cid:durableId="307126443">
    <w:abstractNumId w:val="21"/>
  </w:num>
  <w:num w:numId="16" w16cid:durableId="1152601946">
    <w:abstractNumId w:val="10"/>
  </w:num>
  <w:num w:numId="17" w16cid:durableId="887182747">
    <w:abstractNumId w:val="15"/>
  </w:num>
  <w:num w:numId="18" w16cid:durableId="837815460">
    <w:abstractNumId w:val="6"/>
  </w:num>
  <w:num w:numId="19" w16cid:durableId="1117529831">
    <w:abstractNumId w:val="9"/>
  </w:num>
  <w:num w:numId="20" w16cid:durableId="9112133">
    <w:abstractNumId w:val="25"/>
  </w:num>
  <w:num w:numId="21" w16cid:durableId="510339745">
    <w:abstractNumId w:val="14"/>
  </w:num>
  <w:num w:numId="22" w16cid:durableId="768820033">
    <w:abstractNumId w:val="0"/>
  </w:num>
  <w:num w:numId="23" w16cid:durableId="1286887068">
    <w:abstractNumId w:val="11"/>
  </w:num>
  <w:num w:numId="24" w16cid:durableId="1375620187">
    <w:abstractNumId w:val="17"/>
  </w:num>
  <w:num w:numId="25" w16cid:durableId="2069261931">
    <w:abstractNumId w:val="3"/>
  </w:num>
  <w:num w:numId="26" w16cid:durableId="4907562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11BE5"/>
    <w:rsid w:val="00045182"/>
    <w:rsid w:val="00050547"/>
    <w:rsid w:val="00085617"/>
    <w:rsid w:val="001B3C8E"/>
    <w:rsid w:val="001B6438"/>
    <w:rsid w:val="002768D0"/>
    <w:rsid w:val="002937C6"/>
    <w:rsid w:val="002B72F8"/>
    <w:rsid w:val="00322179"/>
    <w:rsid w:val="003619C3"/>
    <w:rsid w:val="003852AC"/>
    <w:rsid w:val="003857A7"/>
    <w:rsid w:val="0042508E"/>
    <w:rsid w:val="004521F6"/>
    <w:rsid w:val="00462308"/>
    <w:rsid w:val="00527FA9"/>
    <w:rsid w:val="005625D8"/>
    <w:rsid w:val="005A1756"/>
    <w:rsid w:val="005B6FBD"/>
    <w:rsid w:val="005F4A50"/>
    <w:rsid w:val="0060012A"/>
    <w:rsid w:val="0061098C"/>
    <w:rsid w:val="00630769"/>
    <w:rsid w:val="006C3D64"/>
    <w:rsid w:val="00735CA9"/>
    <w:rsid w:val="007A6C06"/>
    <w:rsid w:val="007B0FE3"/>
    <w:rsid w:val="008B6D63"/>
    <w:rsid w:val="009442FF"/>
    <w:rsid w:val="009727D9"/>
    <w:rsid w:val="009B2646"/>
    <w:rsid w:val="009D49D9"/>
    <w:rsid w:val="009D5B4A"/>
    <w:rsid w:val="009F5CD7"/>
    <w:rsid w:val="00A05E02"/>
    <w:rsid w:val="00A134E7"/>
    <w:rsid w:val="00B421B1"/>
    <w:rsid w:val="00B848E5"/>
    <w:rsid w:val="00BF1696"/>
    <w:rsid w:val="00BF21F2"/>
    <w:rsid w:val="00C3377D"/>
    <w:rsid w:val="00C5422D"/>
    <w:rsid w:val="00C90A4E"/>
    <w:rsid w:val="00CD4E39"/>
    <w:rsid w:val="00D36A7F"/>
    <w:rsid w:val="00D732FC"/>
    <w:rsid w:val="00DC2D90"/>
    <w:rsid w:val="00DD67AB"/>
    <w:rsid w:val="00E1748E"/>
    <w:rsid w:val="00E64CBA"/>
    <w:rsid w:val="00E95ED6"/>
    <w:rsid w:val="00EB1589"/>
    <w:rsid w:val="00EC1F4F"/>
    <w:rsid w:val="00ED3D4B"/>
    <w:rsid w:val="00F17DB9"/>
    <w:rsid w:val="00F347AA"/>
    <w:rsid w:val="00F45A26"/>
    <w:rsid w:val="00F73449"/>
    <w:rsid w:val="00F805E3"/>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1772">
      <w:bodyDiv w:val="1"/>
      <w:marLeft w:val="0"/>
      <w:marRight w:val="0"/>
      <w:marTop w:val="0"/>
      <w:marBottom w:val="0"/>
      <w:divBdr>
        <w:top w:val="none" w:sz="0" w:space="0" w:color="auto"/>
        <w:left w:val="none" w:sz="0" w:space="0" w:color="auto"/>
        <w:bottom w:val="none" w:sz="0" w:space="0" w:color="auto"/>
        <w:right w:val="none" w:sz="0" w:space="0" w:color="auto"/>
      </w:divBdr>
    </w:div>
    <w:div w:id="135875868">
      <w:bodyDiv w:val="1"/>
      <w:marLeft w:val="0"/>
      <w:marRight w:val="0"/>
      <w:marTop w:val="0"/>
      <w:marBottom w:val="0"/>
      <w:divBdr>
        <w:top w:val="none" w:sz="0" w:space="0" w:color="auto"/>
        <w:left w:val="none" w:sz="0" w:space="0" w:color="auto"/>
        <w:bottom w:val="none" w:sz="0" w:space="0" w:color="auto"/>
        <w:right w:val="none" w:sz="0" w:space="0" w:color="auto"/>
      </w:divBdr>
    </w:div>
    <w:div w:id="161239167">
      <w:bodyDiv w:val="1"/>
      <w:marLeft w:val="0"/>
      <w:marRight w:val="0"/>
      <w:marTop w:val="0"/>
      <w:marBottom w:val="0"/>
      <w:divBdr>
        <w:top w:val="none" w:sz="0" w:space="0" w:color="auto"/>
        <w:left w:val="none" w:sz="0" w:space="0" w:color="auto"/>
        <w:bottom w:val="none" w:sz="0" w:space="0" w:color="auto"/>
        <w:right w:val="none" w:sz="0" w:space="0" w:color="auto"/>
      </w:divBdr>
    </w:div>
    <w:div w:id="316301427">
      <w:bodyDiv w:val="1"/>
      <w:marLeft w:val="0"/>
      <w:marRight w:val="0"/>
      <w:marTop w:val="0"/>
      <w:marBottom w:val="0"/>
      <w:divBdr>
        <w:top w:val="none" w:sz="0" w:space="0" w:color="auto"/>
        <w:left w:val="none" w:sz="0" w:space="0" w:color="auto"/>
        <w:bottom w:val="none" w:sz="0" w:space="0" w:color="auto"/>
        <w:right w:val="none" w:sz="0" w:space="0" w:color="auto"/>
      </w:divBdr>
    </w:div>
    <w:div w:id="343631554">
      <w:bodyDiv w:val="1"/>
      <w:marLeft w:val="0"/>
      <w:marRight w:val="0"/>
      <w:marTop w:val="0"/>
      <w:marBottom w:val="0"/>
      <w:divBdr>
        <w:top w:val="none" w:sz="0" w:space="0" w:color="auto"/>
        <w:left w:val="none" w:sz="0" w:space="0" w:color="auto"/>
        <w:bottom w:val="none" w:sz="0" w:space="0" w:color="auto"/>
        <w:right w:val="none" w:sz="0" w:space="0" w:color="auto"/>
      </w:divBdr>
    </w:div>
    <w:div w:id="1611741024">
      <w:bodyDiv w:val="1"/>
      <w:marLeft w:val="0"/>
      <w:marRight w:val="0"/>
      <w:marTop w:val="0"/>
      <w:marBottom w:val="0"/>
      <w:divBdr>
        <w:top w:val="none" w:sz="0" w:space="0" w:color="auto"/>
        <w:left w:val="none" w:sz="0" w:space="0" w:color="auto"/>
        <w:bottom w:val="none" w:sz="0" w:space="0" w:color="auto"/>
        <w:right w:val="none" w:sz="0" w:space="0" w:color="auto"/>
      </w:divBdr>
    </w:div>
    <w:div w:id="169457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6</cp:revision>
  <cp:lastPrinted>2017-08-23T11:38:00Z</cp:lastPrinted>
  <dcterms:created xsi:type="dcterms:W3CDTF">2025-02-10T16:57:00Z</dcterms:created>
  <dcterms:modified xsi:type="dcterms:W3CDTF">2025-02-14T14:11:00Z</dcterms:modified>
</cp:coreProperties>
</file>