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C1658" w14:textId="77777777" w:rsidR="00882A05" w:rsidRPr="00882A05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00B0F0"/>
          <w:sz w:val="36"/>
          <w:szCs w:val="36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36"/>
          <w:szCs w:val="36"/>
        </w:rPr>
        <w:t>Intern – Foresight in Economics, Development Finance, and FinTech for Children</w:t>
      </w:r>
    </w:p>
    <w:p w14:paraId="741AEC55" w14:textId="77777777" w:rsidR="00882A05" w:rsidRPr="00882A05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i/>
          <w:iCs/>
          <w:color w:val="00B0F0"/>
          <w:sz w:val="21"/>
          <w:szCs w:val="21"/>
        </w:rPr>
      </w:pPr>
      <w:r w:rsidRPr="00882A05">
        <w:rPr>
          <w:rFonts w:ascii="Calibri" w:eastAsia="Times New Roman" w:hAnsi="Calibri" w:cs="Calibri"/>
          <w:b/>
          <w:bCs/>
          <w:i/>
          <w:iCs/>
          <w:color w:val="00B0F0"/>
          <w:sz w:val="21"/>
          <w:szCs w:val="21"/>
        </w:rPr>
        <w:t>Terms of Reference</w:t>
      </w:r>
    </w:p>
    <w:p w14:paraId="1D7C24F9" w14:textId="47E97AE1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color w:val="00B0F0"/>
          <w:sz w:val="21"/>
          <w:szCs w:val="21"/>
        </w:rPr>
        <w:br/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Location: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>
        <w:rPr>
          <w:rFonts w:ascii="Calibri" w:eastAsia="Times New Roman" w:hAnsi="Calibri" w:cs="Calibri"/>
          <w:sz w:val="21"/>
          <w:szCs w:val="21"/>
        </w:rPr>
        <w:t>UNICEF NYHQ, New York, United States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Duration: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6 months (15-20 hours per week)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Supervision: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Reports to the Foresight and Policy Team, UNICEF Global Office of Research and Foresight</w:t>
      </w:r>
    </w:p>
    <w:p w14:paraId="3EA3383A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494C9FEF">
          <v:rect id="_x0000_i1032" alt="" style="width:435.25pt;height:.05pt;mso-width-percent:0;mso-height-percent:0;mso-width-percent:0;mso-height-percent:0" o:hrpct="930" o:hralign="center" o:hrstd="t" o:hr="t" fillcolor="#a0a0a0" stroked="f"/>
        </w:pict>
      </w:r>
    </w:p>
    <w:p w14:paraId="16B0E5C2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1. Background</w:t>
      </w:r>
    </w:p>
    <w:p w14:paraId="1B6B1168" w14:textId="1E1B9721" w:rsidR="00882A05" w:rsidRPr="00540580" w:rsidRDefault="00822064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sz w:val="21"/>
          <w:szCs w:val="21"/>
        </w:rPr>
        <w:t>The Foresight and Policy Team at UNICEF Innocenti monitors, analyses, and produces forward-looking policy analysis on various global issues.  The Macroeconomics and Finance portfolio encompasses</w:t>
      </w:r>
      <w:r w:rsidR="00882A05" w:rsidRPr="00540580">
        <w:rPr>
          <w:rFonts w:ascii="Calibri" w:eastAsia="Times New Roman" w:hAnsi="Calibri" w:cs="Calibri"/>
          <w:sz w:val="21"/>
          <w:szCs w:val="21"/>
        </w:rPr>
        <w:t xml:space="preserve"> economic foresight, Official Development Assistance (ODA) trends, debt sustainability, and emerging financial technologies (FinTech) affecting children. Given the increasing complexity of global financial systems, ensuring that economic foresight incorporates </w:t>
      </w:r>
      <w:r w:rsidR="00882A05" w:rsidRPr="00540580">
        <w:rPr>
          <w:rFonts w:ascii="Calibri" w:eastAsia="Times New Roman" w:hAnsi="Calibri" w:cs="Calibri"/>
          <w:b/>
          <w:bCs/>
          <w:sz w:val="21"/>
          <w:szCs w:val="21"/>
        </w:rPr>
        <w:t>data-driven insights</w:t>
      </w:r>
      <w:r w:rsidR="00882A05" w:rsidRPr="00540580">
        <w:rPr>
          <w:rFonts w:ascii="Calibri" w:eastAsia="Times New Roman" w:hAnsi="Calibri" w:cs="Calibri"/>
          <w:sz w:val="21"/>
          <w:szCs w:val="21"/>
        </w:rPr>
        <w:t xml:space="preserve"> and child-focused financial policies is critical.</w:t>
      </w:r>
    </w:p>
    <w:p w14:paraId="758772A8" w14:textId="77777777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This internship will contribute to building capacity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foresight, financing for development, and the role of financial technologies in child welfare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, leveraging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 analytics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and foresight methodologies.</w:t>
      </w:r>
    </w:p>
    <w:p w14:paraId="684699DB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7484E576">
          <v:rect id="_x0000_i1031" alt="" style="width:435.25pt;height:.05pt;mso-width-percent:0;mso-height-percent:0;mso-width-percent:0;mso-height-percent:0" o:hrpct="930" o:hralign="center" o:hrstd="t" o:hr="t" fillcolor="#a0a0a0" stroked="f"/>
        </w:pict>
      </w:r>
    </w:p>
    <w:p w14:paraId="778945F0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2. Objectives of the Internship</w:t>
      </w:r>
    </w:p>
    <w:p w14:paraId="684D1127" w14:textId="77777777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The intern will support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foresight research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and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data-driven policy analysis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on:</w:t>
      </w:r>
    </w:p>
    <w:p w14:paraId="6F9806DE" w14:textId="77777777" w:rsidR="00882A05" w:rsidRPr="00540580" w:rsidRDefault="00882A05" w:rsidP="00882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Trends &amp; Strategic Foresight</w:t>
      </w:r>
    </w:p>
    <w:p w14:paraId="364C5C99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Research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global economic trends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related to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ODA, debt sustainability, economic development, and financing for children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2A892D47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Apply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foresight methodologies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(horizon scanning, scenario planning) to model economic futures.</w:t>
      </w:r>
    </w:p>
    <w:p w14:paraId="6B9AD282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Assist in the preparation of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foresight reports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for UNICEF and its partners.</w:t>
      </w:r>
    </w:p>
    <w:p w14:paraId="2D8ABDA3" w14:textId="77777777" w:rsidR="00882A05" w:rsidRPr="00540580" w:rsidRDefault="00882A05" w:rsidP="00882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Data-Driven Financial Policy Analysis</w:t>
      </w:r>
    </w:p>
    <w:p w14:paraId="3E99EC28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proofErr w:type="spellStart"/>
      <w:r w:rsidRPr="00540580">
        <w:rPr>
          <w:rFonts w:ascii="Calibri" w:eastAsia="Times New Roman" w:hAnsi="Calibri" w:cs="Calibri"/>
          <w:sz w:val="21"/>
          <w:szCs w:val="21"/>
        </w:rPr>
        <w:t>Analyze</w:t>
      </w:r>
      <w:proofErr w:type="spellEnd"/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datasets on financing for development</w:t>
      </w:r>
      <w:r w:rsidRPr="00540580">
        <w:rPr>
          <w:rFonts w:ascii="Calibri" w:eastAsia="Times New Roman" w:hAnsi="Calibri" w:cs="Calibri"/>
          <w:sz w:val="21"/>
          <w:szCs w:val="21"/>
        </w:rPr>
        <w:t>, global financial flows, and their impact on children.</w:t>
      </w:r>
    </w:p>
    <w:p w14:paraId="3205A17C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Support the integration of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 science tools (Python, Stata, or econometric software)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in economic </w:t>
      </w:r>
      <w:proofErr w:type="spellStart"/>
      <w:r w:rsidRPr="00540580">
        <w:rPr>
          <w:rFonts w:ascii="Calibri" w:eastAsia="Times New Roman" w:hAnsi="Calibri" w:cs="Calibri"/>
          <w:sz w:val="21"/>
          <w:szCs w:val="21"/>
        </w:rPr>
        <w:t>modeling</w:t>
      </w:r>
      <w:proofErr w:type="spellEnd"/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1D10DB8E" w14:textId="77777777" w:rsidR="00882A05" w:rsidRPr="00540580" w:rsidRDefault="00882A05" w:rsidP="00882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FinTech and Child-</w:t>
      </w:r>
      <w:proofErr w:type="spellStart"/>
      <w:r w:rsidRPr="00540580">
        <w:rPr>
          <w:rFonts w:ascii="Calibri" w:eastAsia="Times New Roman" w:hAnsi="Calibri" w:cs="Calibri"/>
          <w:b/>
          <w:bCs/>
          <w:sz w:val="21"/>
          <w:szCs w:val="21"/>
        </w:rPr>
        <w:t>Centered</w:t>
      </w:r>
      <w:proofErr w:type="spellEnd"/>
      <w:r w:rsidRPr="00540580">
        <w:rPr>
          <w:rFonts w:ascii="Calibri" w:eastAsia="Times New Roman" w:hAnsi="Calibri" w:cs="Calibri"/>
          <w:b/>
          <w:bCs/>
          <w:sz w:val="21"/>
          <w:szCs w:val="21"/>
        </w:rPr>
        <w:t xml:space="preserve"> Development Finance</w:t>
      </w:r>
    </w:p>
    <w:p w14:paraId="2AC39155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Explore the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impact of financial technologies (FinTech) on child welfare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and youth financial inclusion.</w:t>
      </w:r>
    </w:p>
    <w:p w14:paraId="2BAB2CF1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proofErr w:type="spellStart"/>
      <w:r w:rsidRPr="00540580">
        <w:rPr>
          <w:rFonts w:ascii="Calibri" w:eastAsia="Times New Roman" w:hAnsi="Calibri" w:cs="Calibri"/>
          <w:sz w:val="21"/>
          <w:szCs w:val="21"/>
        </w:rPr>
        <w:t>Analyze</w:t>
      </w:r>
      <w:proofErr w:type="spellEnd"/>
      <w:r w:rsidRPr="00540580">
        <w:rPr>
          <w:rFonts w:ascii="Calibri" w:eastAsia="Times New Roman" w:hAnsi="Calibri" w:cs="Calibri"/>
          <w:sz w:val="21"/>
          <w:szCs w:val="21"/>
        </w:rPr>
        <w:t xml:space="preserve"> trends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digital payments, mobile banking, and alternative credit/lending platforms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for vulnerable children.</w:t>
      </w:r>
    </w:p>
    <w:p w14:paraId="60E7E2D4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Investigate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risks and benefits of digital financial tools for children</w:t>
      </w:r>
      <w:r w:rsidRPr="00540580">
        <w:rPr>
          <w:rFonts w:ascii="Calibri" w:eastAsia="Times New Roman" w:hAnsi="Calibri" w:cs="Calibri"/>
          <w:sz w:val="21"/>
          <w:szCs w:val="21"/>
        </w:rPr>
        <w:t>, including data privacy concerns.</w:t>
      </w:r>
    </w:p>
    <w:p w14:paraId="3AF5D195" w14:textId="77777777" w:rsidR="00882A05" w:rsidRPr="00540580" w:rsidRDefault="00882A05" w:rsidP="00882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lastRenderedPageBreak/>
        <w:t>Strategic Foresight Knowledge Management</w:t>
      </w:r>
    </w:p>
    <w:p w14:paraId="0376108F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Support the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Foresight CoP platform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by managing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foresight resources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6365DFBD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Prepare summaries of key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reports and policy papers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for UNICEF stakeholders.</w:t>
      </w:r>
    </w:p>
    <w:p w14:paraId="564552CA" w14:textId="77777777" w:rsidR="00882A05" w:rsidRPr="00540580" w:rsidRDefault="00882A05" w:rsidP="00882A05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Maintain a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database of foresight case studies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, particularly those focused on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resilience, financial inclusion, and child well-being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3C85F643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76B7AE5F">
          <v:rect id="_x0000_i1030" alt="" style="width:435.25pt;height:.05pt;mso-width-percent:0;mso-height-percent:0;mso-width-percent:0;mso-height-percent:0" o:hrpct="930" o:hralign="center" o:hrstd="t" o:hr="t" fillcolor="#a0a0a0" stroked="f"/>
        </w:pict>
      </w:r>
    </w:p>
    <w:p w14:paraId="7A452ADF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3. Key Responsibilities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6730"/>
      </w:tblGrid>
      <w:tr w:rsidR="00882A05" w:rsidRPr="00540580" w14:paraId="0772E750" w14:textId="77777777" w:rsidTr="00F4225B">
        <w:trPr>
          <w:tblHeader/>
          <w:tblCellSpacing w:w="15" w:type="dxa"/>
        </w:trPr>
        <w:tc>
          <w:tcPr>
            <w:tcW w:w="0" w:type="auto"/>
            <w:shd w:val="clear" w:color="auto" w:fill="00B0F0"/>
            <w:vAlign w:val="center"/>
            <w:hideMark/>
          </w:tcPr>
          <w:p w14:paraId="4A8AB89A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Task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14:paraId="46D8D512" w14:textId="77777777" w:rsidR="00882A05" w:rsidRPr="00540580" w:rsidRDefault="00882A05" w:rsidP="00F42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Description</w:t>
            </w:r>
          </w:p>
        </w:tc>
      </w:tr>
      <w:tr w:rsidR="00882A05" w:rsidRPr="00540580" w14:paraId="6CAD4611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209E62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Economic Foresight Research</w:t>
            </w:r>
          </w:p>
        </w:tc>
        <w:tc>
          <w:tcPr>
            <w:tcW w:w="0" w:type="auto"/>
            <w:vAlign w:val="center"/>
            <w:hideMark/>
          </w:tcPr>
          <w:p w14:paraId="246909E4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Conduct research on global economic trends, debt sustainability, ODA, and financing for children.</w:t>
            </w:r>
          </w:p>
        </w:tc>
      </w:tr>
      <w:tr w:rsidR="00882A05" w:rsidRPr="00540580" w14:paraId="74BF3A34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5FD00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Data Analytics Support</w:t>
            </w:r>
          </w:p>
        </w:tc>
        <w:tc>
          <w:tcPr>
            <w:tcW w:w="0" w:type="auto"/>
            <w:vAlign w:val="center"/>
            <w:hideMark/>
          </w:tcPr>
          <w:p w14:paraId="39A7C862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 xml:space="preserve">Utilize Python, Stata, or econometrics tools for economic </w:t>
            </w:r>
            <w:proofErr w:type="spellStart"/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modeling</w:t>
            </w:r>
            <w:proofErr w:type="spellEnd"/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 xml:space="preserve"> and analysis.</w:t>
            </w:r>
          </w:p>
        </w:tc>
      </w:tr>
      <w:tr w:rsidR="00882A05" w:rsidRPr="00540580" w14:paraId="0A900268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28DE97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FinTech &amp; Digital Economy</w:t>
            </w:r>
          </w:p>
        </w:tc>
        <w:tc>
          <w:tcPr>
            <w:tcW w:w="0" w:type="auto"/>
            <w:vAlign w:val="center"/>
            <w:hideMark/>
          </w:tcPr>
          <w:p w14:paraId="25F030E2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Study emerging financial technologies affecting children and youth financial inclusion.</w:t>
            </w:r>
          </w:p>
        </w:tc>
      </w:tr>
      <w:tr w:rsidR="00882A05" w:rsidRPr="00540580" w14:paraId="6D7C55B8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8FB04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Knowledge Management</w:t>
            </w:r>
          </w:p>
        </w:tc>
        <w:tc>
          <w:tcPr>
            <w:tcW w:w="0" w:type="auto"/>
            <w:vAlign w:val="center"/>
            <w:hideMark/>
          </w:tcPr>
          <w:p w14:paraId="40829AE0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Curate, summarize, and organize foresight reports and data resources.</w:t>
            </w:r>
          </w:p>
        </w:tc>
      </w:tr>
      <w:tr w:rsidR="00882A05" w:rsidRPr="00540580" w14:paraId="40F3B166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F16595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Community Engagement</w:t>
            </w:r>
          </w:p>
        </w:tc>
        <w:tc>
          <w:tcPr>
            <w:tcW w:w="0" w:type="auto"/>
            <w:vAlign w:val="center"/>
            <w:hideMark/>
          </w:tcPr>
          <w:p w14:paraId="28D2FAFE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Assist in organizing webinars, expert discussions, and knowledge-sharing sessions.</w:t>
            </w:r>
          </w:p>
        </w:tc>
      </w:tr>
    </w:tbl>
    <w:p w14:paraId="5FE968B3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200AA607">
          <v:rect id="_x0000_i1029" alt="" style="width:435.25pt;height:.05pt;mso-width-percent:0;mso-height-percent:0;mso-width-percent:0;mso-height-percent:0" o:hrpct="930" o:hralign="center" o:hrstd="t" o:hr="t" fillcolor="#a0a0a0" stroked="f"/>
        </w:pict>
      </w:r>
    </w:p>
    <w:p w14:paraId="18628248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4. Supervision &amp; Reporting</w:t>
      </w:r>
    </w:p>
    <w:p w14:paraId="162CC32C" w14:textId="77777777" w:rsidR="00882A05" w:rsidRPr="00540580" w:rsidRDefault="00882A05" w:rsidP="00882A0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The intern will be supervised by a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Policy Specialist from UNICEF’s Foresight and Policy Team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4E483F9B" w14:textId="77777777" w:rsidR="00882A05" w:rsidRPr="00540580" w:rsidRDefault="00882A05" w:rsidP="00882A0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Bi-weekly check-ins will be scheduled to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review progress and provide guidance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44BD083B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5D16F234">
          <v:rect id="_x0000_i1028" alt="" style="width:435.25pt;height:.05pt;mso-width-percent:0;mso-height-percent:0;mso-width-percent:0;mso-height-percent:0" o:hrpct="930" o:hralign="center" o:hrstd="t" o:hr="t" fillcolor="#a0a0a0" stroked="f"/>
        </w:pict>
      </w:r>
    </w:p>
    <w:p w14:paraId="22F1A0FE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5. Required Qualifications &amp; Skills</w:t>
      </w:r>
    </w:p>
    <w:p w14:paraId="2AB9F6C8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</w:rPr>
      </w:pPr>
      <w:r w:rsidRPr="00540580">
        <w:rPr>
          <w:rFonts w:ascii="Calibri" w:eastAsia="Times New Roman" w:hAnsi="Calibri" w:cs="Calibri"/>
          <w:b/>
          <w:bCs/>
        </w:rPr>
        <w:t>Essential:</w:t>
      </w:r>
    </w:p>
    <w:p w14:paraId="3B3D2D93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Currently enrolled in a </w:t>
      </w:r>
      <w:proofErr w:type="gramStart"/>
      <w:r w:rsidRPr="00540580">
        <w:rPr>
          <w:rFonts w:ascii="Calibri" w:eastAsia="Times New Roman" w:hAnsi="Calibri" w:cs="Calibri"/>
          <w:b/>
          <w:bCs/>
          <w:sz w:val="21"/>
          <w:szCs w:val="21"/>
        </w:rPr>
        <w:t>Master’s</w:t>
      </w:r>
      <w:proofErr w:type="gramEnd"/>
      <w:r w:rsidRPr="00540580">
        <w:rPr>
          <w:rFonts w:ascii="Calibri" w:eastAsia="Times New Roman" w:hAnsi="Calibri" w:cs="Calibri"/>
          <w:b/>
          <w:bCs/>
          <w:sz w:val="21"/>
          <w:szCs w:val="21"/>
        </w:rPr>
        <w:t xml:space="preserve"> or advanced undergraduate program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Economics, Development Finance, Public Policy, Data Science, or a related field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350A2EDA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Strong data skills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: experience with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Python (preferred), Stata, R, or other econometric software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62B441DA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Knowledge of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development finance, debt sustainability, ODA, and macroeconomic policy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384F2E2C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Understanding of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foresight methodologies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or willingness to learn.</w:t>
      </w:r>
    </w:p>
    <w:p w14:paraId="50AB2FFD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>Strong analytical, research, and communication skills.</w:t>
      </w:r>
    </w:p>
    <w:p w14:paraId="525CED3A" w14:textId="77777777" w:rsidR="00882A05" w:rsidRPr="00540580" w:rsidRDefault="00882A05" w:rsidP="00882A0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>Ability to work independently and meet deadlines.</w:t>
      </w:r>
    </w:p>
    <w:p w14:paraId="5205AEA0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</w:rPr>
      </w:pPr>
      <w:r w:rsidRPr="00540580">
        <w:rPr>
          <w:rFonts w:ascii="Calibri" w:eastAsia="Times New Roman" w:hAnsi="Calibri" w:cs="Calibri"/>
          <w:b/>
          <w:bCs/>
        </w:rPr>
        <w:t>Desirable:</w:t>
      </w:r>
    </w:p>
    <w:p w14:paraId="3F0900D3" w14:textId="77777777" w:rsidR="00882A05" w:rsidRPr="00540580" w:rsidRDefault="00882A05" w:rsidP="00882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Familiarity with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FinTech applications in development finance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57716A2E" w14:textId="77777777" w:rsidR="00882A05" w:rsidRPr="00540580" w:rsidRDefault="00882A05" w:rsidP="00882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Experience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data visualization tools (e.g., Tableau, Power BI)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35034426" w14:textId="77777777" w:rsidR="00882A05" w:rsidRPr="00540580" w:rsidRDefault="00882A05" w:rsidP="00882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Interest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financial inclusion, digital payments, and child welfare policy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595A2CB0" w14:textId="77777777" w:rsidR="00882A05" w:rsidRPr="00540580" w:rsidRDefault="00882A05" w:rsidP="00882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Previous experience in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research, policy analysis, or international development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73712F54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1BE17D3D">
          <v:rect id="_x0000_i1027" alt="" style="width:435.25pt;height:.05pt;mso-width-percent:0;mso-height-percent:0;mso-width-percent:0;mso-height-percent:0" o:hrpct="930" o:hralign="center" o:hrstd="t" o:hr="t" fillcolor="#a0a0a0" stroked="f"/>
        </w:pict>
      </w:r>
    </w:p>
    <w:p w14:paraId="5831B016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lastRenderedPageBreak/>
        <w:t>6. Deliverables &amp; Timeline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8"/>
        <w:gridCol w:w="1411"/>
        <w:gridCol w:w="1541"/>
      </w:tblGrid>
      <w:tr w:rsidR="00882A05" w:rsidRPr="00540580" w14:paraId="22906849" w14:textId="77777777" w:rsidTr="00F4225B">
        <w:trPr>
          <w:tblHeader/>
          <w:tblCellSpacing w:w="15" w:type="dxa"/>
        </w:trPr>
        <w:tc>
          <w:tcPr>
            <w:tcW w:w="0" w:type="auto"/>
            <w:shd w:val="clear" w:color="auto" w:fill="00B0F0"/>
            <w:vAlign w:val="center"/>
            <w:hideMark/>
          </w:tcPr>
          <w:p w14:paraId="053D1E87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Deliverable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14:paraId="14C8CF0D" w14:textId="77777777" w:rsidR="00882A05" w:rsidRPr="00540580" w:rsidRDefault="00882A05" w:rsidP="00F42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Estimated Time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14:paraId="76BBED6D" w14:textId="77777777" w:rsidR="00882A05" w:rsidRPr="00540580" w:rsidRDefault="00882A05" w:rsidP="00F42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Deadline</w:t>
            </w:r>
          </w:p>
        </w:tc>
      </w:tr>
      <w:tr w:rsidR="00882A05" w:rsidRPr="00540580" w14:paraId="2C4A0DF6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FD6B66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Economic foresight report (trends in ODA &amp; debt)</w:t>
            </w:r>
          </w:p>
        </w:tc>
        <w:tc>
          <w:tcPr>
            <w:tcW w:w="0" w:type="auto"/>
            <w:vAlign w:val="center"/>
            <w:hideMark/>
          </w:tcPr>
          <w:p w14:paraId="4D0DE858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4 weeks</w:t>
            </w:r>
          </w:p>
        </w:tc>
        <w:tc>
          <w:tcPr>
            <w:tcW w:w="0" w:type="auto"/>
            <w:vAlign w:val="center"/>
            <w:hideMark/>
          </w:tcPr>
          <w:p w14:paraId="29974BF7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Month 2</w:t>
            </w:r>
          </w:p>
        </w:tc>
      </w:tr>
      <w:tr w:rsidR="00882A05" w:rsidRPr="00540580" w14:paraId="19105304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0657EE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Data analysis on financing for children</w:t>
            </w:r>
          </w:p>
        </w:tc>
        <w:tc>
          <w:tcPr>
            <w:tcW w:w="0" w:type="auto"/>
            <w:vAlign w:val="center"/>
            <w:hideMark/>
          </w:tcPr>
          <w:p w14:paraId="7E681CD3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6 weeks</w:t>
            </w:r>
          </w:p>
        </w:tc>
        <w:tc>
          <w:tcPr>
            <w:tcW w:w="0" w:type="auto"/>
            <w:vAlign w:val="center"/>
            <w:hideMark/>
          </w:tcPr>
          <w:p w14:paraId="7B26C2E9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Month 3</w:t>
            </w:r>
          </w:p>
        </w:tc>
      </w:tr>
      <w:tr w:rsidR="00882A05" w:rsidRPr="00540580" w14:paraId="68AE093D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4D895C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FinTech case study on children &amp; financial inclusion</w:t>
            </w:r>
          </w:p>
        </w:tc>
        <w:tc>
          <w:tcPr>
            <w:tcW w:w="0" w:type="auto"/>
            <w:vAlign w:val="center"/>
            <w:hideMark/>
          </w:tcPr>
          <w:p w14:paraId="139B5E26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6 weeks</w:t>
            </w:r>
          </w:p>
        </w:tc>
        <w:tc>
          <w:tcPr>
            <w:tcW w:w="0" w:type="auto"/>
            <w:vAlign w:val="center"/>
            <w:hideMark/>
          </w:tcPr>
          <w:p w14:paraId="4A779578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Month 4</w:t>
            </w:r>
          </w:p>
        </w:tc>
      </w:tr>
      <w:tr w:rsidR="00882A05" w:rsidRPr="00540580" w14:paraId="019451F1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A55188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Database of economic foresight resources</w:t>
            </w:r>
          </w:p>
        </w:tc>
        <w:tc>
          <w:tcPr>
            <w:tcW w:w="0" w:type="auto"/>
            <w:vAlign w:val="center"/>
            <w:hideMark/>
          </w:tcPr>
          <w:p w14:paraId="1C35CF96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Ongoing</w:t>
            </w:r>
          </w:p>
        </w:tc>
        <w:tc>
          <w:tcPr>
            <w:tcW w:w="0" w:type="auto"/>
            <w:vAlign w:val="center"/>
            <w:hideMark/>
          </w:tcPr>
          <w:p w14:paraId="576966A9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End of Internship</w:t>
            </w:r>
          </w:p>
        </w:tc>
      </w:tr>
      <w:tr w:rsidR="00882A05" w:rsidRPr="00540580" w14:paraId="0DC5F3AD" w14:textId="77777777" w:rsidTr="00F422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183749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Presentation of findings</w:t>
            </w:r>
          </w:p>
        </w:tc>
        <w:tc>
          <w:tcPr>
            <w:tcW w:w="0" w:type="auto"/>
            <w:vAlign w:val="center"/>
            <w:hideMark/>
          </w:tcPr>
          <w:p w14:paraId="660DAFDA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2 weeks</w:t>
            </w:r>
          </w:p>
        </w:tc>
        <w:tc>
          <w:tcPr>
            <w:tcW w:w="0" w:type="auto"/>
            <w:vAlign w:val="center"/>
            <w:hideMark/>
          </w:tcPr>
          <w:p w14:paraId="36203CB6" w14:textId="77777777" w:rsidR="00882A05" w:rsidRPr="00540580" w:rsidRDefault="00882A05" w:rsidP="00F4225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540580">
              <w:rPr>
                <w:rFonts w:ascii="Calibri" w:eastAsia="Times New Roman" w:hAnsi="Calibri" w:cs="Calibri"/>
                <w:sz w:val="21"/>
                <w:szCs w:val="21"/>
              </w:rPr>
              <w:t>Final Month</w:t>
            </w:r>
          </w:p>
        </w:tc>
      </w:tr>
    </w:tbl>
    <w:p w14:paraId="7E21FA5A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54FE4916">
          <v:rect id="_x0000_i1026" alt="" style="width:435.25pt;height:.05pt;mso-width-percent:0;mso-height-percent:0;mso-width-percent:0;mso-height-percent:0" o:hrpct="930" o:hralign="center" o:hrstd="t" o:hr="t" fillcolor="#a0a0a0" stroked="f"/>
        </w:pict>
      </w:r>
    </w:p>
    <w:p w14:paraId="788E4BF9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7. Learning Opportunities</w:t>
      </w:r>
    </w:p>
    <w:p w14:paraId="06058446" w14:textId="77777777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>The intern will gain experience in: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Apple Color Emoji" w:eastAsia="Times New Roman" w:hAnsi="Apple Color Emoji" w:cs="Apple Color Emoji"/>
          <w:sz w:val="21"/>
          <w:szCs w:val="21"/>
        </w:rPr>
        <w:t>✅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Economic foresight methodologies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(scenario planning, horizon scanning)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Apple Color Emoji" w:eastAsia="Times New Roman" w:hAnsi="Apple Color Emoji" w:cs="Apple Color Emoji"/>
          <w:sz w:val="21"/>
          <w:szCs w:val="21"/>
        </w:rPr>
        <w:t>✅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 xml:space="preserve">Data-driven economic </w:t>
      </w:r>
      <w:proofErr w:type="spellStart"/>
      <w:r w:rsidRPr="00540580">
        <w:rPr>
          <w:rFonts w:ascii="Calibri" w:eastAsia="Times New Roman" w:hAnsi="Calibri" w:cs="Calibri"/>
          <w:b/>
          <w:bCs/>
          <w:sz w:val="21"/>
          <w:szCs w:val="21"/>
        </w:rPr>
        <w:t>modeling</w:t>
      </w:r>
      <w:proofErr w:type="spellEnd"/>
      <w:r w:rsidRPr="00540580">
        <w:rPr>
          <w:rFonts w:ascii="Calibri" w:eastAsia="Times New Roman" w:hAnsi="Calibri" w:cs="Calibri"/>
          <w:sz w:val="21"/>
          <w:szCs w:val="21"/>
        </w:rPr>
        <w:t xml:space="preserve"> for development finance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Apple Color Emoji" w:eastAsia="Times New Roman" w:hAnsi="Apple Color Emoji" w:cs="Apple Color Emoji"/>
          <w:sz w:val="21"/>
          <w:szCs w:val="21"/>
        </w:rPr>
        <w:t>✅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Policy analysis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on FinTech, child welfare, and digital economies</w:t>
      </w:r>
      <w:r w:rsidRPr="00540580">
        <w:rPr>
          <w:rFonts w:ascii="Calibri" w:eastAsia="Times New Roman" w:hAnsi="Calibri" w:cs="Calibri"/>
          <w:sz w:val="21"/>
          <w:szCs w:val="21"/>
        </w:rPr>
        <w:br/>
      </w:r>
      <w:r w:rsidRPr="00540580">
        <w:rPr>
          <w:rFonts w:ascii="Apple Color Emoji" w:eastAsia="Times New Roman" w:hAnsi="Apple Color Emoji" w:cs="Apple Color Emoji"/>
          <w:sz w:val="21"/>
          <w:szCs w:val="21"/>
        </w:rPr>
        <w:t>✅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Knowledge management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and communication strategies</w:t>
      </w:r>
    </w:p>
    <w:p w14:paraId="1CB02BCD" w14:textId="77777777" w:rsidR="00882A05" w:rsidRPr="00540580" w:rsidRDefault="001D5EA5" w:rsidP="00882A05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>
        <w:rPr>
          <w:rFonts w:ascii="Calibri" w:eastAsia="Times New Roman" w:hAnsi="Calibri" w:cs="Calibri"/>
          <w:noProof/>
          <w:sz w:val="21"/>
          <w:szCs w:val="21"/>
        </w:rPr>
        <w:pict w14:anchorId="45CF2B22">
          <v:rect id="_x0000_i1025" alt="" style="width:435.25pt;height:.05pt;mso-width-percent:0;mso-height-percent:0;mso-width-percent:0;mso-height-percent:0" o:hrpct="930" o:hralign="center" o:hrstd="t" o:hr="t" fillcolor="#a0a0a0" stroked="f"/>
        </w:pict>
      </w:r>
    </w:p>
    <w:p w14:paraId="2D8D1E0E" w14:textId="77777777" w:rsidR="00882A05" w:rsidRPr="00540580" w:rsidRDefault="00882A05" w:rsidP="00882A05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B0F0"/>
          <w:sz w:val="28"/>
          <w:szCs w:val="28"/>
        </w:rPr>
      </w:pPr>
      <w:r w:rsidRPr="00540580">
        <w:rPr>
          <w:rFonts w:ascii="Calibri" w:eastAsia="Times New Roman" w:hAnsi="Calibri" w:cs="Calibri"/>
          <w:b/>
          <w:bCs/>
          <w:color w:val="00B0F0"/>
          <w:sz w:val="28"/>
          <w:szCs w:val="28"/>
        </w:rPr>
        <w:t>8. Compensation &amp; Application Process</w:t>
      </w:r>
    </w:p>
    <w:p w14:paraId="19C6DCF9" w14:textId="77777777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>Interested candidates should submit:</w:t>
      </w:r>
    </w:p>
    <w:p w14:paraId="7D1806C8" w14:textId="77777777" w:rsidR="00882A05" w:rsidRPr="00540580" w:rsidRDefault="00882A05" w:rsidP="00882A05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CV/Resume</w:t>
      </w:r>
    </w:p>
    <w:p w14:paraId="1DC92E0E" w14:textId="77777777" w:rsidR="00882A05" w:rsidRPr="00540580" w:rsidRDefault="00882A05" w:rsidP="00882A05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Cover letter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explaining interest and experience</w:t>
      </w:r>
    </w:p>
    <w:p w14:paraId="49F88B41" w14:textId="77777777" w:rsidR="00882A05" w:rsidRPr="00540580" w:rsidRDefault="00882A05" w:rsidP="00882A05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Sample of data analysis or policy writing (if available)</w:t>
      </w:r>
    </w:p>
    <w:p w14:paraId="5F0310FB" w14:textId="77777777" w:rsidR="00882A05" w:rsidRPr="00540580" w:rsidRDefault="00882A05" w:rsidP="00882A05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1"/>
          <w:szCs w:val="21"/>
        </w:rPr>
      </w:pPr>
      <w:r w:rsidRPr="00540580">
        <w:rPr>
          <w:rFonts w:ascii="Calibri" w:eastAsia="Times New Roman" w:hAnsi="Calibri" w:cs="Calibri"/>
          <w:sz w:val="21"/>
          <w:szCs w:val="21"/>
        </w:rPr>
        <w:t xml:space="preserve">UNICEF is committed to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diversity and inclusion</w:t>
      </w:r>
      <w:r w:rsidRPr="00540580">
        <w:rPr>
          <w:rFonts w:ascii="Calibri" w:eastAsia="Times New Roman" w:hAnsi="Calibri" w:cs="Calibri"/>
          <w:sz w:val="21"/>
          <w:szCs w:val="21"/>
        </w:rPr>
        <w:t xml:space="preserve"> and encourages applications from </w:t>
      </w:r>
      <w:r w:rsidRPr="00540580">
        <w:rPr>
          <w:rFonts w:ascii="Calibri" w:eastAsia="Times New Roman" w:hAnsi="Calibri" w:cs="Calibri"/>
          <w:b/>
          <w:bCs/>
          <w:sz w:val="21"/>
          <w:szCs w:val="21"/>
        </w:rPr>
        <w:t>candidates of all backgrounds</w:t>
      </w:r>
      <w:r w:rsidRPr="00540580">
        <w:rPr>
          <w:rFonts w:ascii="Calibri" w:eastAsia="Times New Roman" w:hAnsi="Calibri" w:cs="Calibri"/>
          <w:sz w:val="21"/>
          <w:szCs w:val="21"/>
        </w:rPr>
        <w:t>.</w:t>
      </w:r>
    </w:p>
    <w:p w14:paraId="13AF5B42" w14:textId="77777777" w:rsidR="00882A05" w:rsidRPr="00540580" w:rsidRDefault="00882A05" w:rsidP="00882A05">
      <w:pPr>
        <w:rPr>
          <w:rFonts w:ascii="Calibri" w:hAnsi="Calibri" w:cs="Calibri"/>
          <w:sz w:val="21"/>
          <w:szCs w:val="21"/>
        </w:rPr>
      </w:pPr>
    </w:p>
    <w:p w14:paraId="410C79BD" w14:textId="0C845BB5" w:rsidR="00285557" w:rsidRPr="00882A05" w:rsidRDefault="00285557" w:rsidP="00882A05"/>
    <w:sectPr w:rsidR="00285557" w:rsidRPr="00882A05" w:rsidSect="002855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ED4D" w14:textId="77777777" w:rsidR="001D5EA5" w:rsidRDefault="001D5EA5" w:rsidP="00154EC7">
      <w:pPr>
        <w:spacing w:after="0" w:line="240" w:lineRule="auto"/>
      </w:pPr>
      <w:r>
        <w:separator/>
      </w:r>
    </w:p>
  </w:endnote>
  <w:endnote w:type="continuationSeparator" w:id="0">
    <w:p w14:paraId="49F632CA" w14:textId="77777777" w:rsidR="001D5EA5" w:rsidRDefault="001D5EA5" w:rsidP="00154EC7">
      <w:pPr>
        <w:spacing w:after="0" w:line="240" w:lineRule="auto"/>
      </w:pPr>
      <w:r>
        <w:continuationSeparator/>
      </w:r>
    </w:p>
  </w:endnote>
  <w:endnote w:type="continuationNotice" w:id="1">
    <w:p w14:paraId="02351108" w14:textId="77777777" w:rsidR="001D5EA5" w:rsidRDefault="001D5E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23504992"/>
      <w:docPartObj>
        <w:docPartGallery w:val="Page Numbers (Bottom of Page)"/>
        <w:docPartUnique/>
      </w:docPartObj>
    </w:sdtPr>
    <w:sdtContent>
      <w:p w14:paraId="22DFD086" w14:textId="1A6861AD" w:rsidR="002556BE" w:rsidRDefault="002556BE" w:rsidP="0022600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068C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955DF8E" w14:textId="77777777" w:rsidR="002556BE" w:rsidRDefault="002556BE" w:rsidP="002556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30048191"/>
      <w:docPartObj>
        <w:docPartGallery w:val="Page Numbers (Bottom of Page)"/>
        <w:docPartUnique/>
      </w:docPartObj>
    </w:sdtPr>
    <w:sdtContent>
      <w:p w14:paraId="0223B56C" w14:textId="701628ED" w:rsidR="002556BE" w:rsidRDefault="002556BE" w:rsidP="0022600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5B41605" w14:textId="77777777" w:rsidR="002556BE" w:rsidRDefault="002556BE" w:rsidP="002556B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453DBC6" w14:paraId="46D55E10" w14:textId="77777777" w:rsidTr="0453DBC6">
      <w:trPr>
        <w:trHeight w:val="300"/>
      </w:trPr>
      <w:tc>
        <w:tcPr>
          <w:tcW w:w="3005" w:type="dxa"/>
        </w:tcPr>
        <w:p w14:paraId="3640F220" w14:textId="56793A4E" w:rsidR="0453DBC6" w:rsidRDefault="0453DBC6" w:rsidP="0453DBC6">
          <w:pPr>
            <w:pStyle w:val="Header"/>
            <w:ind w:left="-115"/>
          </w:pPr>
        </w:p>
      </w:tc>
      <w:tc>
        <w:tcPr>
          <w:tcW w:w="3005" w:type="dxa"/>
        </w:tcPr>
        <w:p w14:paraId="6ACB303D" w14:textId="634CC557" w:rsidR="0453DBC6" w:rsidRDefault="0453DBC6" w:rsidP="0453DBC6">
          <w:pPr>
            <w:pStyle w:val="Header"/>
            <w:jc w:val="center"/>
          </w:pPr>
        </w:p>
      </w:tc>
      <w:tc>
        <w:tcPr>
          <w:tcW w:w="3005" w:type="dxa"/>
        </w:tcPr>
        <w:p w14:paraId="6D740615" w14:textId="7AA3CC26" w:rsidR="0453DBC6" w:rsidRDefault="0453DBC6" w:rsidP="0453DBC6">
          <w:pPr>
            <w:pStyle w:val="Header"/>
            <w:ind w:right="-115"/>
            <w:jc w:val="right"/>
          </w:pPr>
        </w:p>
      </w:tc>
    </w:tr>
  </w:tbl>
  <w:p w14:paraId="5EC04CF7" w14:textId="2716CC4C" w:rsidR="0453DBC6" w:rsidRDefault="0453DBC6" w:rsidP="0453D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F5EE" w14:textId="77777777" w:rsidR="001D5EA5" w:rsidRDefault="001D5EA5" w:rsidP="00154EC7">
      <w:pPr>
        <w:spacing w:after="0" w:line="240" w:lineRule="auto"/>
      </w:pPr>
      <w:r>
        <w:separator/>
      </w:r>
    </w:p>
  </w:footnote>
  <w:footnote w:type="continuationSeparator" w:id="0">
    <w:p w14:paraId="41610293" w14:textId="77777777" w:rsidR="001D5EA5" w:rsidRDefault="001D5EA5" w:rsidP="00154EC7">
      <w:pPr>
        <w:spacing w:after="0" w:line="240" w:lineRule="auto"/>
      </w:pPr>
      <w:r>
        <w:continuationSeparator/>
      </w:r>
    </w:p>
  </w:footnote>
  <w:footnote w:type="continuationNotice" w:id="1">
    <w:p w14:paraId="148D598E" w14:textId="77777777" w:rsidR="001D5EA5" w:rsidRDefault="001D5E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453DBC6" w14:paraId="665043B4" w14:textId="77777777" w:rsidTr="0453DBC6">
      <w:trPr>
        <w:trHeight w:val="300"/>
      </w:trPr>
      <w:tc>
        <w:tcPr>
          <w:tcW w:w="3005" w:type="dxa"/>
        </w:tcPr>
        <w:p w14:paraId="5EFC7A86" w14:textId="1507505C" w:rsidR="0453DBC6" w:rsidRDefault="0453DBC6" w:rsidP="0453DBC6">
          <w:pPr>
            <w:pStyle w:val="Header"/>
            <w:ind w:left="-115"/>
          </w:pPr>
        </w:p>
      </w:tc>
      <w:tc>
        <w:tcPr>
          <w:tcW w:w="3005" w:type="dxa"/>
        </w:tcPr>
        <w:p w14:paraId="47996A59" w14:textId="3B1A4005" w:rsidR="0453DBC6" w:rsidRDefault="0453DBC6" w:rsidP="0453DBC6">
          <w:pPr>
            <w:pStyle w:val="Header"/>
            <w:jc w:val="center"/>
          </w:pPr>
        </w:p>
      </w:tc>
      <w:tc>
        <w:tcPr>
          <w:tcW w:w="3005" w:type="dxa"/>
        </w:tcPr>
        <w:p w14:paraId="5ED783E4" w14:textId="601D0356" w:rsidR="0453DBC6" w:rsidRDefault="0453DBC6" w:rsidP="0453DBC6">
          <w:pPr>
            <w:pStyle w:val="Header"/>
            <w:ind w:right="-115"/>
            <w:jc w:val="right"/>
          </w:pPr>
        </w:p>
      </w:tc>
    </w:tr>
  </w:tbl>
  <w:p w14:paraId="1F5D4858" w14:textId="21936BD5" w:rsidR="0453DBC6" w:rsidRDefault="0453DBC6" w:rsidP="0453D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4EB22" w14:textId="2AE94D37" w:rsidR="00285557" w:rsidRPr="005F62E4" w:rsidRDefault="00285557" w:rsidP="00285557">
    <w:pPr>
      <w:rPr>
        <w:rFonts w:cstheme="minorHAnsi"/>
        <w:b/>
        <w:bCs/>
        <w:color w:val="00AEEF"/>
        <w:szCs w:val="24"/>
      </w:rPr>
    </w:pPr>
    <w:r w:rsidRPr="005F62E4">
      <w:rPr>
        <w:rFonts w:cstheme="minorHAnsi"/>
        <w:b/>
        <w:bCs/>
        <w:color w:val="00AEEF"/>
        <w:szCs w:val="24"/>
      </w:rPr>
      <w:t>UNICEF Innocenti – Global Office of Research and Foresight</w:t>
    </w:r>
  </w:p>
  <w:p w14:paraId="01C374BA" w14:textId="0574AF3D" w:rsidR="00285557" w:rsidRDefault="00285557">
    <w:pPr>
      <w:pStyle w:val="Header"/>
    </w:pPr>
    <w:r w:rsidRPr="00B43C64">
      <w:rPr>
        <w:b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68736850" wp14:editId="0C5266AB">
          <wp:simplePos x="0" y="0"/>
          <wp:positionH relativeFrom="margin">
            <wp:align>right</wp:align>
          </wp:positionH>
          <wp:positionV relativeFrom="page">
            <wp:align>top</wp:align>
          </wp:positionV>
          <wp:extent cx="1371600" cy="13716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633F"/>
    <w:multiLevelType w:val="multilevel"/>
    <w:tmpl w:val="81DEBD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FDA5711"/>
    <w:multiLevelType w:val="multilevel"/>
    <w:tmpl w:val="E3281D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400B7"/>
    <w:multiLevelType w:val="hybridMultilevel"/>
    <w:tmpl w:val="13587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85228"/>
    <w:multiLevelType w:val="hybridMultilevel"/>
    <w:tmpl w:val="27BCA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02874"/>
    <w:multiLevelType w:val="hybridMultilevel"/>
    <w:tmpl w:val="5478F3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46E3A"/>
    <w:multiLevelType w:val="multilevel"/>
    <w:tmpl w:val="FA949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D3DDC"/>
    <w:multiLevelType w:val="multilevel"/>
    <w:tmpl w:val="CC46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A0313C"/>
    <w:multiLevelType w:val="multilevel"/>
    <w:tmpl w:val="2FEA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35243B"/>
    <w:multiLevelType w:val="hybridMultilevel"/>
    <w:tmpl w:val="2890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41C8C"/>
    <w:multiLevelType w:val="hybridMultilevel"/>
    <w:tmpl w:val="A3CAE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F560C"/>
    <w:multiLevelType w:val="hybridMultilevel"/>
    <w:tmpl w:val="8FB831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F59DB"/>
    <w:multiLevelType w:val="multilevel"/>
    <w:tmpl w:val="EF26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76216A"/>
    <w:multiLevelType w:val="hybridMultilevel"/>
    <w:tmpl w:val="51083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E2EAD"/>
    <w:multiLevelType w:val="multilevel"/>
    <w:tmpl w:val="A7FCE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D51281"/>
    <w:multiLevelType w:val="multilevel"/>
    <w:tmpl w:val="36B426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B554CB2"/>
    <w:multiLevelType w:val="hybridMultilevel"/>
    <w:tmpl w:val="CEF4EF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C0491"/>
    <w:multiLevelType w:val="multilevel"/>
    <w:tmpl w:val="A7DE6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8F57CC"/>
    <w:multiLevelType w:val="hybridMultilevel"/>
    <w:tmpl w:val="ECB69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90D2E"/>
    <w:multiLevelType w:val="hybridMultilevel"/>
    <w:tmpl w:val="47E22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B10331"/>
    <w:multiLevelType w:val="multilevel"/>
    <w:tmpl w:val="60A4D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F43619C"/>
    <w:multiLevelType w:val="hybridMultilevel"/>
    <w:tmpl w:val="E1AC0C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9B5FF5"/>
    <w:multiLevelType w:val="hybridMultilevel"/>
    <w:tmpl w:val="F15295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CE6964"/>
    <w:multiLevelType w:val="multilevel"/>
    <w:tmpl w:val="07B63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CCE3F90"/>
    <w:multiLevelType w:val="hybridMultilevel"/>
    <w:tmpl w:val="72580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66570"/>
    <w:multiLevelType w:val="multilevel"/>
    <w:tmpl w:val="A224E4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341543074">
    <w:abstractNumId w:val="3"/>
  </w:num>
  <w:num w:numId="2" w16cid:durableId="984240277">
    <w:abstractNumId w:val="12"/>
  </w:num>
  <w:num w:numId="3" w16cid:durableId="1139693278">
    <w:abstractNumId w:val="18"/>
  </w:num>
  <w:num w:numId="4" w16cid:durableId="761953226">
    <w:abstractNumId w:val="9"/>
  </w:num>
  <w:num w:numId="5" w16cid:durableId="11734744">
    <w:abstractNumId w:val="4"/>
  </w:num>
  <w:num w:numId="6" w16cid:durableId="233124353">
    <w:abstractNumId w:val="23"/>
  </w:num>
  <w:num w:numId="7" w16cid:durableId="1354695023">
    <w:abstractNumId w:val="10"/>
  </w:num>
  <w:num w:numId="8" w16cid:durableId="1448816215">
    <w:abstractNumId w:val="15"/>
  </w:num>
  <w:num w:numId="9" w16cid:durableId="275715109">
    <w:abstractNumId w:val="14"/>
  </w:num>
  <w:num w:numId="10" w16cid:durableId="937298859">
    <w:abstractNumId w:val="20"/>
  </w:num>
  <w:num w:numId="11" w16cid:durableId="2099477159">
    <w:abstractNumId w:val="16"/>
  </w:num>
  <w:num w:numId="12" w16cid:durableId="27030995">
    <w:abstractNumId w:val="19"/>
  </w:num>
  <w:num w:numId="13" w16cid:durableId="750853627">
    <w:abstractNumId w:val="24"/>
  </w:num>
  <w:num w:numId="14" w16cid:durableId="1614168710">
    <w:abstractNumId w:val="1"/>
  </w:num>
  <w:num w:numId="15" w16cid:durableId="396393089">
    <w:abstractNumId w:val="0"/>
  </w:num>
  <w:num w:numId="16" w16cid:durableId="1301306594">
    <w:abstractNumId w:val="2"/>
  </w:num>
  <w:num w:numId="17" w16cid:durableId="52967718">
    <w:abstractNumId w:val="22"/>
  </w:num>
  <w:num w:numId="18" w16cid:durableId="1155485622">
    <w:abstractNumId w:val="17"/>
  </w:num>
  <w:num w:numId="19" w16cid:durableId="1029378133">
    <w:abstractNumId w:val="8"/>
  </w:num>
  <w:num w:numId="20" w16cid:durableId="1678120473">
    <w:abstractNumId w:val="21"/>
  </w:num>
  <w:num w:numId="21" w16cid:durableId="1495729519">
    <w:abstractNumId w:val="13"/>
  </w:num>
  <w:num w:numId="22" w16cid:durableId="1654332425">
    <w:abstractNumId w:val="5"/>
  </w:num>
  <w:num w:numId="23" w16cid:durableId="1021517456">
    <w:abstractNumId w:val="6"/>
  </w:num>
  <w:num w:numId="24" w16cid:durableId="1425760956">
    <w:abstractNumId w:val="11"/>
  </w:num>
  <w:num w:numId="25" w16cid:durableId="21142704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E1"/>
    <w:rsid w:val="0000678A"/>
    <w:rsid w:val="00006A98"/>
    <w:rsid w:val="00020905"/>
    <w:rsid w:val="00023807"/>
    <w:rsid w:val="000240C2"/>
    <w:rsid w:val="0002718B"/>
    <w:rsid w:val="000274EA"/>
    <w:rsid w:val="00040C2E"/>
    <w:rsid w:val="0004482F"/>
    <w:rsid w:val="00052A39"/>
    <w:rsid w:val="00054983"/>
    <w:rsid w:val="00060653"/>
    <w:rsid w:val="00063060"/>
    <w:rsid w:val="00073225"/>
    <w:rsid w:val="0007432A"/>
    <w:rsid w:val="00074ACE"/>
    <w:rsid w:val="00087516"/>
    <w:rsid w:val="00087F86"/>
    <w:rsid w:val="00094313"/>
    <w:rsid w:val="000944D9"/>
    <w:rsid w:val="000B3214"/>
    <w:rsid w:val="000D5EDA"/>
    <w:rsid w:val="000E0DE6"/>
    <w:rsid w:val="000E171B"/>
    <w:rsid w:val="000E6DEB"/>
    <w:rsid w:val="000F27E3"/>
    <w:rsid w:val="000F469B"/>
    <w:rsid w:val="000F5326"/>
    <w:rsid w:val="00100B86"/>
    <w:rsid w:val="00111E9B"/>
    <w:rsid w:val="0012081B"/>
    <w:rsid w:val="00126BFF"/>
    <w:rsid w:val="0013262A"/>
    <w:rsid w:val="00134E3E"/>
    <w:rsid w:val="00140E61"/>
    <w:rsid w:val="00145302"/>
    <w:rsid w:val="001518D4"/>
    <w:rsid w:val="00153038"/>
    <w:rsid w:val="00154EC7"/>
    <w:rsid w:val="001555AB"/>
    <w:rsid w:val="00156090"/>
    <w:rsid w:val="0016458E"/>
    <w:rsid w:val="00167747"/>
    <w:rsid w:val="001705C4"/>
    <w:rsid w:val="00170773"/>
    <w:rsid w:val="00187CA4"/>
    <w:rsid w:val="00187CF7"/>
    <w:rsid w:val="0019324A"/>
    <w:rsid w:val="001947DC"/>
    <w:rsid w:val="001A17EB"/>
    <w:rsid w:val="001A4F00"/>
    <w:rsid w:val="001B059C"/>
    <w:rsid w:val="001C0AEF"/>
    <w:rsid w:val="001C1E3B"/>
    <w:rsid w:val="001C6C54"/>
    <w:rsid w:val="001D5EA5"/>
    <w:rsid w:val="001D66F1"/>
    <w:rsid w:val="001F3715"/>
    <w:rsid w:val="001F5AE0"/>
    <w:rsid w:val="001F6D32"/>
    <w:rsid w:val="0020472D"/>
    <w:rsid w:val="00216EA2"/>
    <w:rsid w:val="00230174"/>
    <w:rsid w:val="002556BE"/>
    <w:rsid w:val="002606FE"/>
    <w:rsid w:val="00264349"/>
    <w:rsid w:val="0027464F"/>
    <w:rsid w:val="0027576A"/>
    <w:rsid w:val="00280AA6"/>
    <w:rsid w:val="00285557"/>
    <w:rsid w:val="0029099D"/>
    <w:rsid w:val="002913F9"/>
    <w:rsid w:val="00291D02"/>
    <w:rsid w:val="002C0D4C"/>
    <w:rsid w:val="002D143F"/>
    <w:rsid w:val="002D16DE"/>
    <w:rsid w:val="002D4C52"/>
    <w:rsid w:val="002E7126"/>
    <w:rsid w:val="002F49BB"/>
    <w:rsid w:val="00300691"/>
    <w:rsid w:val="003100C1"/>
    <w:rsid w:val="003111BA"/>
    <w:rsid w:val="0031385D"/>
    <w:rsid w:val="00330E7A"/>
    <w:rsid w:val="00333BF1"/>
    <w:rsid w:val="00336731"/>
    <w:rsid w:val="00345BC3"/>
    <w:rsid w:val="0035099B"/>
    <w:rsid w:val="00350E7C"/>
    <w:rsid w:val="0035359D"/>
    <w:rsid w:val="00371823"/>
    <w:rsid w:val="00385170"/>
    <w:rsid w:val="003A37AA"/>
    <w:rsid w:val="003B56A3"/>
    <w:rsid w:val="003B627B"/>
    <w:rsid w:val="003C3386"/>
    <w:rsid w:val="003D1F21"/>
    <w:rsid w:val="003D3265"/>
    <w:rsid w:val="003D5E56"/>
    <w:rsid w:val="003E07F5"/>
    <w:rsid w:val="003F70FF"/>
    <w:rsid w:val="00400117"/>
    <w:rsid w:val="004068C0"/>
    <w:rsid w:val="00411CAC"/>
    <w:rsid w:val="004126E9"/>
    <w:rsid w:val="00440307"/>
    <w:rsid w:val="0044120B"/>
    <w:rsid w:val="00444487"/>
    <w:rsid w:val="00463C99"/>
    <w:rsid w:val="0046731B"/>
    <w:rsid w:val="0046777C"/>
    <w:rsid w:val="00485DE2"/>
    <w:rsid w:val="00487DBF"/>
    <w:rsid w:val="0049033F"/>
    <w:rsid w:val="004A3335"/>
    <w:rsid w:val="004A3FA3"/>
    <w:rsid w:val="004B6311"/>
    <w:rsid w:val="004C16EA"/>
    <w:rsid w:val="004C4DA0"/>
    <w:rsid w:val="004D6E66"/>
    <w:rsid w:val="004E5A9B"/>
    <w:rsid w:val="004E6E49"/>
    <w:rsid w:val="00502C3C"/>
    <w:rsid w:val="005037BD"/>
    <w:rsid w:val="00516BB8"/>
    <w:rsid w:val="005204AE"/>
    <w:rsid w:val="005225C4"/>
    <w:rsid w:val="005318A9"/>
    <w:rsid w:val="00531E54"/>
    <w:rsid w:val="0054206B"/>
    <w:rsid w:val="00544AFB"/>
    <w:rsid w:val="00551605"/>
    <w:rsid w:val="005569FC"/>
    <w:rsid w:val="005610A4"/>
    <w:rsid w:val="0057366F"/>
    <w:rsid w:val="005736BC"/>
    <w:rsid w:val="00573C95"/>
    <w:rsid w:val="0057495D"/>
    <w:rsid w:val="0057756E"/>
    <w:rsid w:val="00583BE1"/>
    <w:rsid w:val="00583FDD"/>
    <w:rsid w:val="005869FB"/>
    <w:rsid w:val="00595955"/>
    <w:rsid w:val="005A40BE"/>
    <w:rsid w:val="005B533C"/>
    <w:rsid w:val="005B7801"/>
    <w:rsid w:val="005C6424"/>
    <w:rsid w:val="005C7E7E"/>
    <w:rsid w:val="005D5717"/>
    <w:rsid w:val="005E4317"/>
    <w:rsid w:val="005E46E4"/>
    <w:rsid w:val="005E5172"/>
    <w:rsid w:val="005E622F"/>
    <w:rsid w:val="005F351C"/>
    <w:rsid w:val="00604B74"/>
    <w:rsid w:val="00605A49"/>
    <w:rsid w:val="00616B4E"/>
    <w:rsid w:val="006222FA"/>
    <w:rsid w:val="006235F7"/>
    <w:rsid w:val="00625696"/>
    <w:rsid w:val="00634CAA"/>
    <w:rsid w:val="00642B5C"/>
    <w:rsid w:val="00643B52"/>
    <w:rsid w:val="00645DF9"/>
    <w:rsid w:val="006573AB"/>
    <w:rsid w:val="00665752"/>
    <w:rsid w:val="006756AA"/>
    <w:rsid w:val="00680D2F"/>
    <w:rsid w:val="00683F7B"/>
    <w:rsid w:val="006868F8"/>
    <w:rsid w:val="00690FEC"/>
    <w:rsid w:val="00695750"/>
    <w:rsid w:val="006A2D3B"/>
    <w:rsid w:val="006A60C7"/>
    <w:rsid w:val="006C4A08"/>
    <w:rsid w:val="006D1C66"/>
    <w:rsid w:val="006D6E35"/>
    <w:rsid w:val="006E5563"/>
    <w:rsid w:val="006E61F3"/>
    <w:rsid w:val="006F67E5"/>
    <w:rsid w:val="007101AA"/>
    <w:rsid w:val="0071078C"/>
    <w:rsid w:val="00721603"/>
    <w:rsid w:val="007255D0"/>
    <w:rsid w:val="007259A8"/>
    <w:rsid w:val="00734A5F"/>
    <w:rsid w:val="00740A62"/>
    <w:rsid w:val="00754DAF"/>
    <w:rsid w:val="0076382F"/>
    <w:rsid w:val="00774DB7"/>
    <w:rsid w:val="00782FDA"/>
    <w:rsid w:val="00784EA2"/>
    <w:rsid w:val="00793EDE"/>
    <w:rsid w:val="0079548A"/>
    <w:rsid w:val="007A1B4A"/>
    <w:rsid w:val="007D0528"/>
    <w:rsid w:val="007D175B"/>
    <w:rsid w:val="007D3479"/>
    <w:rsid w:val="007E628F"/>
    <w:rsid w:val="007E7EF0"/>
    <w:rsid w:val="007F007B"/>
    <w:rsid w:val="007F3855"/>
    <w:rsid w:val="007F575C"/>
    <w:rsid w:val="00802D9C"/>
    <w:rsid w:val="00813F89"/>
    <w:rsid w:val="00815673"/>
    <w:rsid w:val="00822064"/>
    <w:rsid w:val="00823AE2"/>
    <w:rsid w:val="008322EB"/>
    <w:rsid w:val="00832675"/>
    <w:rsid w:val="00840D84"/>
    <w:rsid w:val="00841989"/>
    <w:rsid w:val="008421E1"/>
    <w:rsid w:val="00843CBC"/>
    <w:rsid w:val="008471D0"/>
    <w:rsid w:val="00853B30"/>
    <w:rsid w:val="008644D5"/>
    <w:rsid w:val="008672C5"/>
    <w:rsid w:val="0087095B"/>
    <w:rsid w:val="00873F01"/>
    <w:rsid w:val="00876D7C"/>
    <w:rsid w:val="00882A05"/>
    <w:rsid w:val="0088586A"/>
    <w:rsid w:val="00890111"/>
    <w:rsid w:val="008B719E"/>
    <w:rsid w:val="008F0F83"/>
    <w:rsid w:val="00914468"/>
    <w:rsid w:val="00924A12"/>
    <w:rsid w:val="00924DEF"/>
    <w:rsid w:val="009279AC"/>
    <w:rsid w:val="00933540"/>
    <w:rsid w:val="00943C87"/>
    <w:rsid w:val="0095441C"/>
    <w:rsid w:val="009551AE"/>
    <w:rsid w:val="009566C2"/>
    <w:rsid w:val="0096014C"/>
    <w:rsid w:val="00961617"/>
    <w:rsid w:val="00961692"/>
    <w:rsid w:val="00962993"/>
    <w:rsid w:val="00964DD4"/>
    <w:rsid w:val="0096510A"/>
    <w:rsid w:val="00967649"/>
    <w:rsid w:val="00967C72"/>
    <w:rsid w:val="00972E53"/>
    <w:rsid w:val="0097481D"/>
    <w:rsid w:val="00976CB4"/>
    <w:rsid w:val="00982A0B"/>
    <w:rsid w:val="009870F1"/>
    <w:rsid w:val="00987633"/>
    <w:rsid w:val="00990613"/>
    <w:rsid w:val="009963A7"/>
    <w:rsid w:val="00997BB9"/>
    <w:rsid w:val="009A0C82"/>
    <w:rsid w:val="009A4642"/>
    <w:rsid w:val="009B455A"/>
    <w:rsid w:val="009C0E33"/>
    <w:rsid w:val="009D41F3"/>
    <w:rsid w:val="009E157C"/>
    <w:rsid w:val="009F5720"/>
    <w:rsid w:val="00A01705"/>
    <w:rsid w:val="00A07067"/>
    <w:rsid w:val="00A12CE7"/>
    <w:rsid w:val="00A12F30"/>
    <w:rsid w:val="00A13F75"/>
    <w:rsid w:val="00A23DB9"/>
    <w:rsid w:val="00A273B6"/>
    <w:rsid w:val="00A27A16"/>
    <w:rsid w:val="00A3336C"/>
    <w:rsid w:val="00A335CF"/>
    <w:rsid w:val="00A36874"/>
    <w:rsid w:val="00A43B5A"/>
    <w:rsid w:val="00A44DC6"/>
    <w:rsid w:val="00A4580C"/>
    <w:rsid w:val="00A512CD"/>
    <w:rsid w:val="00A54F7D"/>
    <w:rsid w:val="00A76F0A"/>
    <w:rsid w:val="00A77B93"/>
    <w:rsid w:val="00A809C0"/>
    <w:rsid w:val="00A83ED8"/>
    <w:rsid w:val="00A94B17"/>
    <w:rsid w:val="00AA22E1"/>
    <w:rsid w:val="00AA3F46"/>
    <w:rsid w:val="00AA59C1"/>
    <w:rsid w:val="00AA7587"/>
    <w:rsid w:val="00AA7F74"/>
    <w:rsid w:val="00AB114E"/>
    <w:rsid w:val="00AB2DEF"/>
    <w:rsid w:val="00AB3CF4"/>
    <w:rsid w:val="00AC3ED3"/>
    <w:rsid w:val="00AD0502"/>
    <w:rsid w:val="00AE31FA"/>
    <w:rsid w:val="00AE3E07"/>
    <w:rsid w:val="00AE7A60"/>
    <w:rsid w:val="00AF0CB3"/>
    <w:rsid w:val="00AF0E95"/>
    <w:rsid w:val="00AF680A"/>
    <w:rsid w:val="00B006A6"/>
    <w:rsid w:val="00B048BA"/>
    <w:rsid w:val="00B06D06"/>
    <w:rsid w:val="00B175EB"/>
    <w:rsid w:val="00B17A6E"/>
    <w:rsid w:val="00B20456"/>
    <w:rsid w:val="00B23813"/>
    <w:rsid w:val="00B27E20"/>
    <w:rsid w:val="00B362FC"/>
    <w:rsid w:val="00B402FC"/>
    <w:rsid w:val="00B4111E"/>
    <w:rsid w:val="00B6371C"/>
    <w:rsid w:val="00B67C82"/>
    <w:rsid w:val="00B72E99"/>
    <w:rsid w:val="00B73BAE"/>
    <w:rsid w:val="00B74E71"/>
    <w:rsid w:val="00B77C3D"/>
    <w:rsid w:val="00B97524"/>
    <w:rsid w:val="00B978FD"/>
    <w:rsid w:val="00BB22F5"/>
    <w:rsid w:val="00BB559A"/>
    <w:rsid w:val="00BC5B7A"/>
    <w:rsid w:val="00BC69A2"/>
    <w:rsid w:val="00BC70AE"/>
    <w:rsid w:val="00BD7A65"/>
    <w:rsid w:val="00BD7DA6"/>
    <w:rsid w:val="00BF06E5"/>
    <w:rsid w:val="00BF1A70"/>
    <w:rsid w:val="00C03893"/>
    <w:rsid w:val="00C05911"/>
    <w:rsid w:val="00C0667F"/>
    <w:rsid w:val="00C11D69"/>
    <w:rsid w:val="00C141D2"/>
    <w:rsid w:val="00C22711"/>
    <w:rsid w:val="00C24BDE"/>
    <w:rsid w:val="00C315BA"/>
    <w:rsid w:val="00C36D34"/>
    <w:rsid w:val="00C36EAF"/>
    <w:rsid w:val="00C47A7A"/>
    <w:rsid w:val="00C524B3"/>
    <w:rsid w:val="00C573E5"/>
    <w:rsid w:val="00C62225"/>
    <w:rsid w:val="00C6262B"/>
    <w:rsid w:val="00C7096F"/>
    <w:rsid w:val="00C70D6D"/>
    <w:rsid w:val="00C7228A"/>
    <w:rsid w:val="00C76A39"/>
    <w:rsid w:val="00C773A4"/>
    <w:rsid w:val="00CA21AD"/>
    <w:rsid w:val="00CA298B"/>
    <w:rsid w:val="00CB356D"/>
    <w:rsid w:val="00CB645F"/>
    <w:rsid w:val="00CE417A"/>
    <w:rsid w:val="00CF4A1B"/>
    <w:rsid w:val="00CF513F"/>
    <w:rsid w:val="00D015D5"/>
    <w:rsid w:val="00D02C26"/>
    <w:rsid w:val="00D038AD"/>
    <w:rsid w:val="00D04ECB"/>
    <w:rsid w:val="00D2355A"/>
    <w:rsid w:val="00D25619"/>
    <w:rsid w:val="00D321FC"/>
    <w:rsid w:val="00D57B5F"/>
    <w:rsid w:val="00D751FA"/>
    <w:rsid w:val="00D77270"/>
    <w:rsid w:val="00D8149A"/>
    <w:rsid w:val="00D859B1"/>
    <w:rsid w:val="00D9008B"/>
    <w:rsid w:val="00D93FFA"/>
    <w:rsid w:val="00DA1325"/>
    <w:rsid w:val="00DA41A7"/>
    <w:rsid w:val="00DA41F5"/>
    <w:rsid w:val="00DC41BF"/>
    <w:rsid w:val="00DE2FCD"/>
    <w:rsid w:val="00DF1FEB"/>
    <w:rsid w:val="00DF7D5A"/>
    <w:rsid w:val="00E072BD"/>
    <w:rsid w:val="00E1038D"/>
    <w:rsid w:val="00E167A5"/>
    <w:rsid w:val="00E20DD4"/>
    <w:rsid w:val="00E26A26"/>
    <w:rsid w:val="00E31FBF"/>
    <w:rsid w:val="00E445AF"/>
    <w:rsid w:val="00E47914"/>
    <w:rsid w:val="00E5130B"/>
    <w:rsid w:val="00E52B92"/>
    <w:rsid w:val="00E53BCA"/>
    <w:rsid w:val="00E54351"/>
    <w:rsid w:val="00E5466F"/>
    <w:rsid w:val="00E63365"/>
    <w:rsid w:val="00E73389"/>
    <w:rsid w:val="00E823A1"/>
    <w:rsid w:val="00E82B38"/>
    <w:rsid w:val="00E86BFD"/>
    <w:rsid w:val="00E902C7"/>
    <w:rsid w:val="00E94977"/>
    <w:rsid w:val="00E94AFF"/>
    <w:rsid w:val="00EB1A1F"/>
    <w:rsid w:val="00EB1B7A"/>
    <w:rsid w:val="00EC444B"/>
    <w:rsid w:val="00ED69E4"/>
    <w:rsid w:val="00EE20C6"/>
    <w:rsid w:val="00EE2E1D"/>
    <w:rsid w:val="00EE5524"/>
    <w:rsid w:val="00EE7DCA"/>
    <w:rsid w:val="00EF4A40"/>
    <w:rsid w:val="00EF5B59"/>
    <w:rsid w:val="00F06560"/>
    <w:rsid w:val="00F20D55"/>
    <w:rsid w:val="00F2295D"/>
    <w:rsid w:val="00F25B0E"/>
    <w:rsid w:val="00F30473"/>
    <w:rsid w:val="00F307BC"/>
    <w:rsid w:val="00F31576"/>
    <w:rsid w:val="00F35A52"/>
    <w:rsid w:val="00F401D6"/>
    <w:rsid w:val="00F40E8E"/>
    <w:rsid w:val="00F47265"/>
    <w:rsid w:val="00F51F70"/>
    <w:rsid w:val="00F730FE"/>
    <w:rsid w:val="00F8088B"/>
    <w:rsid w:val="00F84B15"/>
    <w:rsid w:val="00F93911"/>
    <w:rsid w:val="00F9773C"/>
    <w:rsid w:val="00FB14C2"/>
    <w:rsid w:val="00FB1E03"/>
    <w:rsid w:val="00FB2885"/>
    <w:rsid w:val="00FC51EF"/>
    <w:rsid w:val="00FC5CDF"/>
    <w:rsid w:val="00FD03FB"/>
    <w:rsid w:val="00FD3C76"/>
    <w:rsid w:val="00FE0E83"/>
    <w:rsid w:val="00FE25F3"/>
    <w:rsid w:val="00FE5714"/>
    <w:rsid w:val="00FE6105"/>
    <w:rsid w:val="00FF1C8E"/>
    <w:rsid w:val="0453DBC6"/>
    <w:rsid w:val="3A22B9BC"/>
    <w:rsid w:val="3F579A88"/>
    <w:rsid w:val="61E2F42C"/>
    <w:rsid w:val="6DB8A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212514"/>
  <w15:chartTrackingRefBased/>
  <w15:docId w15:val="{27309611-E624-450F-A9A3-5A6E59A9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282828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A05"/>
    <w:pPr>
      <w:spacing w:after="240" w:line="300" w:lineRule="exact"/>
    </w:pPr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557"/>
    <w:pPr>
      <w:keepNext/>
      <w:keepLines/>
      <w:spacing w:before="120" w:after="120" w:line="360" w:lineRule="exact"/>
      <w:jc w:val="center"/>
      <w:outlineLvl w:val="0"/>
    </w:pPr>
    <w:rPr>
      <w:rFonts w:eastAsiaTheme="majorEastAsia" w:cstheme="majorBidi"/>
      <w:b/>
      <w:color w:val="00AEE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326"/>
    <w:pPr>
      <w:keepNext/>
      <w:keepLines/>
      <w:spacing w:before="240" w:after="0" w:line="240" w:lineRule="auto"/>
      <w:outlineLvl w:val="1"/>
    </w:pPr>
    <w:rPr>
      <w:rFonts w:eastAsiaTheme="majorEastAsia" w:cstheme="majorBidi"/>
      <w:b/>
      <w:color w:val="00AEE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2B92"/>
    <w:pPr>
      <w:keepNext/>
      <w:keepLines/>
      <w:spacing w:before="40" w:after="0"/>
      <w:outlineLvl w:val="2"/>
    </w:pPr>
    <w:rPr>
      <w:rFonts w:eastAsiaTheme="majorEastAsia" w:cstheme="majorBidi"/>
      <w:b/>
      <w:color w:val="64646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le">
    <w:name w:val="Title"/>
    <w:basedOn w:val="Normal"/>
    <w:next w:val="Normal"/>
    <w:link w:val="TitleChar"/>
    <w:rsid w:val="008421E1"/>
    <w:pPr>
      <w:keepNext/>
      <w:keepLines/>
      <w:pBdr>
        <w:top w:val="nil"/>
        <w:left w:val="nil"/>
        <w:bottom w:val="nil"/>
        <w:right w:val="nil"/>
        <w:between w:val="nil"/>
      </w:pBdr>
      <w:spacing w:line="312" w:lineRule="auto"/>
    </w:pPr>
    <w:rPr>
      <w:rFonts w:ascii="Montserrat" w:eastAsia="Montserrat" w:hAnsi="Montserrat" w:cs="Montserrat"/>
      <w:b/>
      <w:color w:val="0068EA"/>
      <w:sz w:val="64"/>
      <w:szCs w:val="64"/>
      <w:lang w:val="en"/>
    </w:rPr>
  </w:style>
  <w:style w:type="character" w:customStyle="1" w:styleId="TitleChar">
    <w:name w:val="Title Char"/>
    <w:basedOn w:val="DefaultParagraphFont"/>
    <w:link w:val="Title"/>
    <w:rsid w:val="008421E1"/>
    <w:rPr>
      <w:rFonts w:ascii="Montserrat" w:eastAsia="Montserrat" w:hAnsi="Montserrat" w:cs="Montserrat"/>
      <w:b/>
      <w:color w:val="0068EA"/>
      <w:sz w:val="64"/>
      <w:szCs w:val="64"/>
      <w:lang w:val="en"/>
    </w:rPr>
  </w:style>
  <w:style w:type="paragraph" w:styleId="Header">
    <w:name w:val="header"/>
    <w:basedOn w:val="Normal"/>
    <w:link w:val="HeaderChar"/>
    <w:uiPriority w:val="99"/>
    <w:unhideWhenUsed/>
    <w:rsid w:val="00154E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EC7"/>
  </w:style>
  <w:style w:type="paragraph" w:styleId="Footer">
    <w:name w:val="footer"/>
    <w:basedOn w:val="Normal"/>
    <w:link w:val="FooterChar"/>
    <w:uiPriority w:val="99"/>
    <w:unhideWhenUsed/>
    <w:rsid w:val="00154E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EC7"/>
  </w:style>
  <w:style w:type="character" w:customStyle="1" w:styleId="Heading1Char">
    <w:name w:val="Heading 1 Char"/>
    <w:basedOn w:val="DefaultParagraphFont"/>
    <w:link w:val="Heading1"/>
    <w:uiPriority w:val="9"/>
    <w:rsid w:val="00285557"/>
    <w:rPr>
      <w:rFonts w:eastAsiaTheme="majorEastAsia" w:cstheme="majorBidi"/>
      <w:b/>
      <w:color w:val="00AEEF"/>
      <w:sz w:val="36"/>
      <w:szCs w:val="32"/>
    </w:rPr>
  </w:style>
  <w:style w:type="paragraph" w:styleId="ListParagraph">
    <w:name w:val="List Paragraph"/>
    <w:basedOn w:val="Normal"/>
    <w:uiPriority w:val="34"/>
    <w:qFormat/>
    <w:rsid w:val="007F385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F5326"/>
    <w:rPr>
      <w:rFonts w:eastAsiaTheme="majorEastAsia" w:cstheme="majorBidi"/>
      <w:b/>
      <w:color w:val="00AEEF"/>
      <w:sz w:val="24"/>
      <w:szCs w:val="26"/>
    </w:rPr>
  </w:style>
  <w:style w:type="paragraph" w:styleId="CommentText">
    <w:name w:val="annotation text"/>
    <w:basedOn w:val="Normal"/>
    <w:link w:val="CommentTextChar"/>
    <w:unhideWhenUsed/>
    <w:rsid w:val="00280AA6"/>
    <w:pPr>
      <w:spacing w:after="160" w:line="240" w:lineRule="auto"/>
      <w:ind w:left="720" w:hanging="36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80AA6"/>
    <w:rPr>
      <w:color w:val="auto"/>
      <w:sz w:val="20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280AA6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0AA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0AA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4F00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2556BE"/>
  </w:style>
  <w:style w:type="table" w:styleId="TableGrid">
    <w:name w:val="Table Grid"/>
    <w:basedOn w:val="TableNormal"/>
    <w:rsid w:val="00285557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41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1BF"/>
    <w:pPr>
      <w:spacing w:after="240"/>
      <w:ind w:left="0" w:firstLine="0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1BF"/>
    <w:rPr>
      <w:b/>
      <w:bCs/>
      <w:color w:val="auto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52B92"/>
    <w:rPr>
      <w:rFonts w:eastAsiaTheme="majorEastAsia" w:cstheme="majorBidi"/>
      <w:b/>
      <w:color w:val="646464"/>
      <w:szCs w:val="24"/>
    </w:rPr>
  </w:style>
  <w:style w:type="paragraph" w:styleId="Revision">
    <w:name w:val="Revision"/>
    <w:hidden/>
    <w:uiPriority w:val="99"/>
    <w:semiHidden/>
    <w:rsid w:val="000F27E3"/>
    <w:pPr>
      <w:spacing w:after="0" w:line="240" w:lineRule="auto"/>
    </w:pPr>
    <w:rPr>
      <w:color w:val="auto"/>
    </w:rPr>
  </w:style>
  <w:style w:type="paragraph" w:customStyle="1" w:styleId="paragraph">
    <w:name w:val="paragraph"/>
    <w:basedOn w:val="Normal"/>
    <w:rsid w:val="0058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583FDD"/>
  </w:style>
  <w:style w:type="character" w:customStyle="1" w:styleId="eop">
    <w:name w:val="eop"/>
    <w:basedOn w:val="DefaultParagraphFont"/>
    <w:rsid w:val="00583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ff6e30b-2e7e-4693-828f-dd3429138b36">TKJX5CVSUJ3S-728953657-11104</_dlc_DocId>
    <_dlc_DocIdUrl xmlns="0ff6e30b-2e7e-4693-828f-dd3429138b36">
      <Url>https://unicef.sharepoint.com/teams/OoR-EditorialFlagships/_layouts/15/DocIdRedir.aspx?ID=TKJX5CVSUJ3S-728953657-11104</Url>
      <Description>TKJX5CVSUJ3S-728953657-11104</Description>
    </_dlc_DocIdUrl>
    <lcf76f155ced4ddcb4097134ff3c332f xmlns="900aa4f9-47cb-45b0-a403-0a7c20377beb">
      <Terms xmlns="http://schemas.microsoft.com/office/infopath/2007/PartnerControls"/>
    </lcf76f155ced4ddcb4097134ff3c332f>
    <TaxCatchAll xmlns="0ff6e30b-2e7e-4693-828f-dd3429138b36" xsi:nil="true"/>
    <MediaLengthInSeconds xmlns="900aa4f9-47cb-45b0-a403-0a7c20377beb" xsi:nil="true"/>
    <SharedWithUsers xmlns="0ff6e30b-2e7e-4693-828f-dd3429138b36">
      <UserInfo>
        <DisplayName>Camila Teixeira</DisplayName>
        <AccountId>50</AccountId>
        <AccountType/>
      </UserInfo>
      <UserInfo>
        <DisplayName>Steven Edwin Vosloo</DisplayName>
        <AccountId>66</AccountId>
        <AccountType/>
      </UserInfo>
      <UserInfo>
        <DisplayName>Andaleeb Alam</DisplayName>
        <AccountId>78</AccountId>
        <AccountType/>
      </UserInfo>
      <UserInfo>
        <DisplayName>Manasi Nanavati</DisplayName>
        <AccountId>75</AccountId>
        <AccountType/>
      </UserInfo>
      <UserInfo>
        <DisplayName>Melvin Breton Guerrero</DisplayName>
        <AccountId>73</AccountId>
        <AccountType/>
      </UserInfo>
      <UserInfo>
        <DisplayName>Jasmina Byrne</DisplayName>
        <AccountId>23</AccountId>
        <AccountType/>
      </UserInfo>
      <UserInfo>
        <DisplayName>Gary Risser</DisplayName>
        <AccountId>31</AccountId>
        <AccountType/>
      </UserInfo>
      <UserInfo>
        <DisplayName>Valeria Groppo</DisplayName>
        <AccountId>62</AccountId>
        <AccountType/>
      </UserInfo>
      <UserInfo>
        <DisplayName>Gustavo Angeles Tagliaferro</DisplayName>
        <AccountId>186</AccountId>
        <AccountType/>
      </UserInfo>
      <UserInfo>
        <DisplayName>Mathilde Heloise C. Van Drooghenbroeck</DisplayName>
        <AccountId>84</AccountId>
        <AccountType/>
      </UserInfo>
      <UserInfo>
        <DisplayName>Kaku Attah Damoah</DisplayName>
        <AccountId>53</AccountId>
        <AccountType/>
      </UserInfo>
      <UserInfo>
        <DisplayName>Tara Dooley</DisplayName>
        <AccountId>41</AccountId>
        <AccountType/>
      </UserInfo>
      <UserInfo>
        <DisplayName>Juliana Nyasha Tirivayi</DisplayName>
        <AccountId>86</AccountId>
        <AccountType/>
      </UserInfo>
      <UserInfo>
        <DisplayName>Frank Otchere</DisplayName>
        <AccountId>51</AccountId>
        <AccountType/>
      </UserInfo>
      <UserInfo>
        <DisplayName>Cristina Colon</DisplayName>
        <AccountId>74</AccountId>
        <AccountType/>
      </UserInfo>
      <UserInfo>
        <DisplayName>Alun Rhydderch</DisplayName>
        <AccountId>341</AccountId>
        <AccountType/>
      </UserInfo>
      <UserInfo>
        <DisplayName>Amanda Marlin</DisplayName>
        <AccountId>18</AccountId>
        <AccountType/>
      </UserInfo>
    </SharedWithUsers>
    <_dlc_DocIdPersistId xmlns="0ff6e30b-2e7e-4693-828f-dd3429138b36">false</_dlc_DocIdPersistId>
    <URL xmlns="900aa4f9-47cb-45b0-a403-0a7c20377beb">
      <Url xsi:nil="true"/>
      <Description xsi:nil="true"/>
    </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DCD91157DEC4080AF34445A620B13" ma:contentTypeVersion="16" ma:contentTypeDescription="Create a new document." ma:contentTypeScope="" ma:versionID="fb42e737944fa4802ad3a39612215c8a">
  <xsd:schema xmlns:xsd="http://www.w3.org/2001/XMLSchema" xmlns:xs="http://www.w3.org/2001/XMLSchema" xmlns:p="http://schemas.microsoft.com/office/2006/metadata/properties" xmlns:ns2="0ff6e30b-2e7e-4693-828f-dd3429138b36" xmlns:ns3="900aa4f9-47cb-45b0-a403-0a7c20377beb" targetNamespace="http://schemas.microsoft.com/office/2006/metadata/properties" ma:root="true" ma:fieldsID="fbfb6e73fa10f15358a5776f89737b96" ns2:_="" ns3:_="">
    <xsd:import namespace="0ff6e30b-2e7e-4693-828f-dd3429138b36"/>
    <xsd:import namespace="900aa4f9-47cb-45b0-a403-0a7c20377be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URL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6e30b-2e7e-4693-828f-dd3429138b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039f2d8-b323-4154-a24e-f1148d307523}" ma:internalName="TaxCatchAll" ma:showField="CatchAllData" ma:web="0ff6e30b-2e7e-4693-828f-dd3429138b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aa4f9-47cb-45b0-a403-0a7c20377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URL" ma:index="24" nillable="true" ma:displayName="URL" ma:format="Hyperlink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A40F99E-8611-4182-83EB-E09BA76BC6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FCC26C-761B-4396-A5B3-4AB38FBE9DBB}">
  <ds:schemaRefs>
    <ds:schemaRef ds:uri="http://schemas.microsoft.com/office/2006/metadata/properties"/>
    <ds:schemaRef ds:uri="http://schemas.microsoft.com/office/infopath/2007/PartnerControls"/>
    <ds:schemaRef ds:uri="0ff6e30b-2e7e-4693-828f-dd3429138b36"/>
    <ds:schemaRef ds:uri="900aa4f9-47cb-45b0-a403-0a7c20377beb"/>
  </ds:schemaRefs>
</ds:datastoreItem>
</file>

<file path=customXml/itemProps3.xml><?xml version="1.0" encoding="utf-8"?>
<ds:datastoreItem xmlns:ds="http://schemas.openxmlformats.org/officeDocument/2006/customXml" ds:itemID="{920692DA-8DFF-4F9E-B171-99CBB6131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f6e30b-2e7e-4693-828f-dd3429138b36"/>
    <ds:schemaRef ds:uri="900aa4f9-47cb-45b0-a403-0a7c20377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C3BB77-A344-4A70-9F35-3EEA1422E4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Dooley</dc:creator>
  <cp:keywords/>
  <dc:description/>
  <cp:lastModifiedBy>Melvin Breton Guerrero</cp:lastModifiedBy>
  <cp:revision>2</cp:revision>
  <dcterms:created xsi:type="dcterms:W3CDTF">2025-02-24T15:49:00Z</dcterms:created>
  <dcterms:modified xsi:type="dcterms:W3CDTF">2025-02-24T15:49:00Z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0x01010059CDCD91157DEC4080AF34445A620B13</vt:lpwstr>
  </property>
  <property fmtid="{D5CDD505-2E9C-101B-9397-08002B2CF9AE}" pid="3" name="MediaServiceImageTags">
    <vt:lpwstr/>
  </property>
  <property fmtid="{D5CDD505-2E9C-101B-9397-08002B2CF9AE}" pid="4" name="TaxKeyword">
    <vt:lpwstr/>
  </property>
  <property fmtid="{D5CDD505-2E9C-101B-9397-08002B2CF9AE}" pid="5" name="Order">
    <vt:r8>1357100</vt:r8>
  </property>
  <property fmtid="{D5CDD505-2E9C-101B-9397-08002B2CF9AE}" pid="6" name="SystemDTAC">
    <vt:lpwstr/>
  </property>
  <property fmtid="{D5CDD505-2E9C-101B-9397-08002B2CF9AE}" pid="7" name="Topic">
    <vt:lpwstr/>
  </property>
  <property fmtid="{D5CDD505-2E9C-101B-9397-08002B2CF9AE}" pid="8" name="xd_ProgID">
    <vt:lpwstr/>
  </property>
  <property fmtid="{D5CDD505-2E9C-101B-9397-08002B2CF9AE}" pid="9" name="OfficeDivis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URL">
    <vt:lpwstr>, </vt:lpwstr>
  </property>
  <property fmtid="{D5CDD505-2E9C-101B-9397-08002B2CF9AE}" pid="15" name="xd_Signature">
    <vt:bool>false</vt:bool>
  </property>
  <property fmtid="{D5CDD505-2E9C-101B-9397-08002B2CF9AE}" pid="16" name="CriticalForLongTermRetention">
    <vt:lpwstr/>
  </property>
  <property fmtid="{D5CDD505-2E9C-101B-9397-08002B2CF9AE}" pid="17" name="DocumentType">
    <vt:lpwstr/>
  </property>
  <property fmtid="{D5CDD505-2E9C-101B-9397-08002B2CF9AE}" pid="18" name="GrammarlyDocumentId">
    <vt:lpwstr>a6f6c96fda4be69ded571485ced39d3fe1e7b5b682173dc7310539cc85f9ad5e</vt:lpwstr>
  </property>
  <property fmtid="{D5CDD505-2E9C-101B-9397-08002B2CF9AE}" pid="19" name="_dlc_DocIdItemGuid">
    <vt:lpwstr>846e9744-7786-442c-bdb5-43ca5791014c</vt:lpwstr>
  </property>
</Properties>
</file>