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274D131B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3C71D4"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216F168E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3C71D4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7BA39EAB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2137AD">
        <w:rPr>
          <w:rFonts w:eastAsiaTheme="minorEastAsia"/>
          <w:b/>
          <w:sz w:val="20"/>
          <w:lang w:eastAsia="ko-KR"/>
        </w:rPr>
        <w:t xml:space="preserve">                              International Fund for Agriculture Development</w:t>
      </w:r>
    </w:p>
    <w:p w14:paraId="60476E44" w14:textId="4FAC857F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2137AD">
        <w:rPr>
          <w:rFonts w:eastAsiaTheme="minorEastAsia"/>
          <w:b/>
          <w:sz w:val="20"/>
          <w:lang w:eastAsia="ko-KR"/>
        </w:rPr>
        <w:t xml:space="preserve"> ECG/ESA</w:t>
      </w:r>
    </w:p>
    <w:p w14:paraId="79482528" w14:textId="6843B9B8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2137AD">
        <w:rPr>
          <w:b/>
          <w:sz w:val="20"/>
        </w:rPr>
        <w:t>Johannesburg</w:t>
      </w:r>
      <w:r w:rsidR="000E14A2">
        <w:rPr>
          <w:rFonts w:asciiTheme="minorEastAsia" w:eastAsiaTheme="minorEastAsia" w:hAnsiTheme="minorEastAsia"/>
          <w:sz w:val="20"/>
          <w:lang w:eastAsia="ko-KR"/>
        </w:rPr>
        <w:t xml:space="preserve">, </w:t>
      </w:r>
      <w:r w:rsidR="000E14A2" w:rsidRPr="000E14A2">
        <w:rPr>
          <w:rFonts w:asciiTheme="minorEastAsia" w:eastAsiaTheme="minorEastAsia" w:hAnsiTheme="minorEastAsia"/>
          <w:b/>
          <w:bCs/>
          <w:sz w:val="20"/>
          <w:lang w:eastAsia="ko-KR"/>
        </w:rPr>
        <w:t>South Africa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1494C290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0E14A2">
        <w:rPr>
          <w:b/>
          <w:sz w:val="20"/>
        </w:rPr>
        <w:t>TBC</w:t>
      </w:r>
    </w:p>
    <w:p w14:paraId="1FE1A8D9" w14:textId="263C3027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2137AD">
        <w:rPr>
          <w:b/>
          <w:sz w:val="20"/>
        </w:rPr>
        <w:t>6 months</w:t>
      </w:r>
    </w:p>
    <w:p w14:paraId="2F175909" w14:textId="0670DFB2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06DCDADA" w:rsidR="00D11DBF" w:rsidRPr="00341DA0" w:rsidRDefault="00341DA0" w:rsidP="00341DA0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lang w:eastAsia="ko-KR"/>
        </w:rPr>
        <w:t xml:space="preserve"> </w:t>
      </w:r>
      <w:r w:rsidR="00744087"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  <w:r w:rsidR="000E14A2" w:rsidRPr="00341DA0">
        <w:rPr>
          <w:rFonts w:eastAsiaTheme="minorEastAsia"/>
          <w:b w:val="0"/>
          <w:bCs w:val="0"/>
          <w:lang w:eastAsia="ko-KR"/>
        </w:rPr>
        <w:t>Climate Finance Mobilization and Environmental Mainstreaming in Agriculture</w:t>
      </w:r>
      <w:r>
        <w:rPr>
          <w:rFonts w:eastAsiaTheme="minorEastAsia"/>
          <w:b w:val="0"/>
          <w:bCs w:val="0"/>
          <w:lang w:eastAsia="ko-KR"/>
        </w:rPr>
        <w:t xml:space="preserve"> projects</w:t>
      </w:r>
    </w:p>
    <w:p w14:paraId="18C4860B" w14:textId="2B45BEAB" w:rsidR="00DA1D94" w:rsidRDefault="00744087" w:rsidP="00341DA0">
      <w:pPr>
        <w:pStyle w:val="Heading1"/>
        <w:tabs>
          <w:tab w:val="left" w:pos="481"/>
        </w:tabs>
        <w:spacing w:before="207"/>
        <w:ind w:left="468" w:firstLine="0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6B40ABA" w14:textId="0CA0A15F" w:rsidR="000E14A2" w:rsidRPr="00341DA0" w:rsidRDefault="000E14A2" w:rsidP="00341DA0">
      <w:pPr>
        <w:pStyle w:val="Heading1"/>
        <w:tabs>
          <w:tab w:val="left" w:pos="481"/>
        </w:tabs>
        <w:spacing w:before="207"/>
        <w:ind w:left="580" w:firstLine="0"/>
        <w:jc w:val="both"/>
        <w:rPr>
          <w:rFonts w:eastAsiaTheme="minorEastAsia"/>
          <w:b w:val="0"/>
          <w:bCs w:val="0"/>
          <w:lang w:eastAsia="ko-KR"/>
        </w:rPr>
      </w:pPr>
      <w:r w:rsidRPr="00341DA0">
        <w:rPr>
          <w:rFonts w:eastAsiaTheme="minorEastAsia"/>
          <w:b w:val="0"/>
          <w:bCs w:val="0"/>
          <w:lang w:eastAsia="ko-KR"/>
        </w:rPr>
        <w:t>The intern will support the Climate and Environment Specialist</w:t>
      </w:r>
      <w:r w:rsidR="00404205">
        <w:rPr>
          <w:rFonts w:eastAsiaTheme="minorEastAsia"/>
          <w:b w:val="0"/>
          <w:bCs w:val="0"/>
          <w:lang w:eastAsia="ko-KR"/>
        </w:rPr>
        <w:t xml:space="preserve"> based in </w:t>
      </w:r>
      <w:r w:rsidR="00404205" w:rsidRPr="00404205">
        <w:rPr>
          <w:rFonts w:eastAsiaTheme="minorEastAsia"/>
          <w:b w:val="0"/>
          <w:bCs w:val="0"/>
          <w:lang w:eastAsia="ko-KR"/>
        </w:rPr>
        <w:t>Johannesburg</w:t>
      </w:r>
      <w:r w:rsidRPr="00341DA0">
        <w:rPr>
          <w:rFonts w:eastAsiaTheme="minorEastAsia"/>
          <w:b w:val="0"/>
          <w:bCs w:val="0"/>
          <w:lang w:eastAsia="ko-KR"/>
        </w:rPr>
        <w:t xml:space="preserve"> in mobilizing climate finance and integrating</w:t>
      </w:r>
      <w:r w:rsidR="00341DA0">
        <w:rPr>
          <w:rFonts w:eastAsiaTheme="minorEastAsia"/>
          <w:b w:val="0"/>
          <w:bCs w:val="0"/>
          <w:lang w:eastAsia="ko-KR"/>
        </w:rPr>
        <w:t xml:space="preserve"> </w:t>
      </w:r>
      <w:r w:rsidRPr="00341DA0">
        <w:rPr>
          <w:rFonts w:eastAsiaTheme="minorEastAsia"/>
          <w:b w:val="0"/>
          <w:bCs w:val="0"/>
          <w:lang w:eastAsia="ko-KR"/>
        </w:rPr>
        <w:t>climate change and environmental sustainability considerations into IFAD’s projects across Southern Africa. This will include assisting with th</w:t>
      </w:r>
      <w:bookmarkStart w:id="0" w:name="_GoBack"/>
      <w:bookmarkEnd w:id="0"/>
      <w:r w:rsidRPr="00341DA0">
        <w:rPr>
          <w:rFonts w:eastAsiaTheme="minorEastAsia"/>
          <w:b w:val="0"/>
          <w:bCs w:val="0"/>
          <w:lang w:eastAsia="ko-KR"/>
        </w:rPr>
        <w:t>e identification of funding opportunities, preparing proposals, conducting environmental and climate assessments, and supporting the integration of climate-smart solutions into project design and implementation.</w:t>
      </w:r>
    </w:p>
    <w:p w14:paraId="583B66E7" w14:textId="77777777" w:rsidR="000E14A2" w:rsidRPr="000E14A2" w:rsidRDefault="000E14A2" w:rsidP="000E14A2">
      <w:pPr>
        <w:pStyle w:val="Heading1"/>
        <w:tabs>
          <w:tab w:val="left" w:pos="481"/>
        </w:tabs>
        <w:spacing w:before="207"/>
        <w:ind w:left="828"/>
        <w:rPr>
          <w:rFonts w:eastAsiaTheme="minorEastAsia"/>
          <w:lang w:eastAsia="ko-KR"/>
        </w:rPr>
      </w:pPr>
      <w:r w:rsidRPr="000E14A2">
        <w:rPr>
          <w:rFonts w:eastAsiaTheme="minorEastAsia"/>
          <w:lang w:eastAsia="ko-KR"/>
        </w:rPr>
        <w:t>Key responsibilities will include:</w:t>
      </w:r>
    </w:p>
    <w:p w14:paraId="441F9CD6" w14:textId="43B979EE" w:rsidR="000E14A2" w:rsidRPr="00404205" w:rsidRDefault="000E14A2" w:rsidP="00404205">
      <w:pPr>
        <w:pStyle w:val="Heading1"/>
        <w:numPr>
          <w:ilvl w:val="0"/>
          <w:numId w:val="25"/>
        </w:numPr>
        <w:tabs>
          <w:tab w:val="left" w:pos="481"/>
        </w:tabs>
        <w:spacing w:before="207"/>
        <w:ind w:hanging="371"/>
        <w:jc w:val="both"/>
        <w:rPr>
          <w:rFonts w:eastAsiaTheme="minorEastAsia"/>
          <w:b w:val="0"/>
          <w:bCs w:val="0"/>
          <w:lang w:eastAsia="ko-KR"/>
        </w:rPr>
      </w:pPr>
      <w:r w:rsidRPr="00404205">
        <w:rPr>
          <w:rFonts w:eastAsiaTheme="minorEastAsia"/>
          <w:b w:val="0"/>
          <w:bCs w:val="0"/>
          <w:lang w:eastAsia="ko-KR"/>
        </w:rPr>
        <w:t>Assisting with climate finance mapping, including identifying new funding sources and maintaining</w:t>
      </w:r>
      <w:r w:rsidR="00404205">
        <w:rPr>
          <w:rFonts w:eastAsiaTheme="minorEastAsia"/>
          <w:b w:val="0"/>
          <w:bCs w:val="0"/>
          <w:lang w:eastAsia="ko-KR"/>
        </w:rPr>
        <w:t xml:space="preserve"> </w:t>
      </w:r>
      <w:r w:rsidRPr="00404205">
        <w:rPr>
          <w:rFonts w:eastAsiaTheme="minorEastAsia"/>
          <w:b w:val="0"/>
          <w:bCs w:val="0"/>
          <w:lang w:eastAsia="ko-KR"/>
        </w:rPr>
        <w:t>relationships with donors and other stakeholders.</w:t>
      </w:r>
    </w:p>
    <w:p w14:paraId="0BD08FCB" w14:textId="77777777" w:rsidR="000E14A2" w:rsidRPr="000E14A2" w:rsidRDefault="000E14A2" w:rsidP="00D4606C">
      <w:pPr>
        <w:pStyle w:val="Heading1"/>
        <w:numPr>
          <w:ilvl w:val="0"/>
          <w:numId w:val="25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>Supporting the integration of climate change and environmental considerations into IFAD’s regional and national programs.</w:t>
      </w:r>
    </w:p>
    <w:p w14:paraId="5B290E40" w14:textId="41634889" w:rsidR="000E14A2" w:rsidRPr="000E14A2" w:rsidRDefault="000E14A2" w:rsidP="00D4606C">
      <w:pPr>
        <w:pStyle w:val="Heading1"/>
        <w:numPr>
          <w:ilvl w:val="0"/>
          <w:numId w:val="25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 xml:space="preserve">Assisting in the preparation of project documents, proposals, </w:t>
      </w:r>
      <w:r w:rsidR="00341DA0">
        <w:rPr>
          <w:rFonts w:eastAsiaTheme="minorEastAsia"/>
          <w:b w:val="0"/>
          <w:bCs w:val="0"/>
          <w:lang w:eastAsia="ko-KR"/>
        </w:rPr>
        <w:t xml:space="preserve">analysis, update data bases </w:t>
      </w:r>
      <w:r w:rsidRPr="000E14A2">
        <w:rPr>
          <w:rFonts w:eastAsiaTheme="minorEastAsia"/>
          <w:b w:val="0"/>
          <w:bCs w:val="0"/>
          <w:lang w:eastAsia="ko-KR"/>
        </w:rPr>
        <w:t>and reports, ensuring that climate and environment-related aspects are aligned with IFAD’s policies and strategies.</w:t>
      </w:r>
    </w:p>
    <w:p w14:paraId="51148D3C" w14:textId="77777777" w:rsidR="000E14A2" w:rsidRPr="000E14A2" w:rsidRDefault="000E14A2" w:rsidP="00D4606C">
      <w:pPr>
        <w:pStyle w:val="Heading1"/>
        <w:numPr>
          <w:ilvl w:val="0"/>
          <w:numId w:val="25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>Contributing to the development of climate adaptation and resilience strategies for IFAD projects, ensuring compliance with international frameworks such as the Paris Agreement.</w:t>
      </w:r>
    </w:p>
    <w:p w14:paraId="1C7B046D" w14:textId="009294CE" w:rsidR="000E14A2" w:rsidRPr="000E14A2" w:rsidRDefault="000E14A2" w:rsidP="00D4606C">
      <w:pPr>
        <w:pStyle w:val="Heading1"/>
        <w:numPr>
          <w:ilvl w:val="0"/>
          <w:numId w:val="25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>Reviewing and analyzing the climate resilience and environmental safeguards of ongoing IFAD projects</w:t>
      </w:r>
      <w:r w:rsidR="00341DA0">
        <w:rPr>
          <w:rFonts w:eastAsiaTheme="minorEastAsia"/>
          <w:b w:val="0"/>
          <w:bCs w:val="0"/>
          <w:lang w:eastAsia="ko-KR"/>
        </w:rPr>
        <w:t xml:space="preserve"> and providing reports</w:t>
      </w:r>
      <w:r w:rsidRPr="000E14A2">
        <w:rPr>
          <w:rFonts w:eastAsiaTheme="minorEastAsia"/>
          <w:b w:val="0"/>
          <w:bCs w:val="0"/>
          <w:lang w:eastAsia="ko-KR"/>
        </w:rPr>
        <w:t>.</w:t>
      </w:r>
    </w:p>
    <w:p w14:paraId="366583F8" w14:textId="77777777" w:rsidR="000E14A2" w:rsidRPr="000E14A2" w:rsidRDefault="000E14A2" w:rsidP="00D4606C">
      <w:pPr>
        <w:pStyle w:val="Heading1"/>
        <w:numPr>
          <w:ilvl w:val="0"/>
          <w:numId w:val="25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>Supporting the capacity building of IFAD’s teams and partners in integrating climate and environment considerations into agricultural development programs.</w:t>
      </w:r>
    </w:p>
    <w:p w14:paraId="60313B79" w14:textId="6F8487AC" w:rsidR="00744087" w:rsidRPr="000E14A2" w:rsidRDefault="000E14A2" w:rsidP="00D4606C">
      <w:pPr>
        <w:pStyle w:val="Heading1"/>
        <w:numPr>
          <w:ilvl w:val="1"/>
          <w:numId w:val="26"/>
        </w:numPr>
        <w:tabs>
          <w:tab w:val="left" w:pos="481"/>
        </w:tabs>
        <w:spacing w:before="207"/>
        <w:jc w:val="both"/>
        <w:rPr>
          <w:rFonts w:eastAsiaTheme="minorEastAsia"/>
          <w:b w:val="0"/>
          <w:bCs w:val="0"/>
          <w:lang w:eastAsia="ko-KR"/>
        </w:rPr>
      </w:pPr>
      <w:r w:rsidRPr="000E14A2">
        <w:rPr>
          <w:rFonts w:eastAsiaTheme="minorEastAsia"/>
          <w:b w:val="0"/>
          <w:bCs w:val="0"/>
          <w:lang w:eastAsia="ko-KR"/>
        </w:rPr>
        <w:t>Providing logistical support during workshops, consultations, and meetings related to climate and environmental topics.</w:t>
      </w:r>
    </w:p>
    <w:p w14:paraId="0DA35122" w14:textId="77777777" w:rsidR="00404205" w:rsidRDefault="00404205">
      <w:pPr>
        <w:rPr>
          <w:b/>
          <w:bCs/>
          <w:sz w:val="20"/>
          <w:szCs w:val="20"/>
        </w:rPr>
      </w:pPr>
      <w:r>
        <w:br w:type="page"/>
      </w:r>
    </w:p>
    <w:p w14:paraId="00F62B57" w14:textId="11DAB01F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60F32F10" w:rsidR="00DA1D94" w:rsidRPr="000E14A2" w:rsidRDefault="000E14A2" w:rsidP="000E14A2">
      <w:pPr>
        <w:pStyle w:val="BodyText"/>
        <w:numPr>
          <w:ilvl w:val="0"/>
          <w:numId w:val="23"/>
        </w:numPr>
        <w:spacing w:before="1"/>
        <w:rPr>
          <w:rFonts w:eastAsiaTheme="minorEastAsia"/>
          <w:lang w:eastAsia="ko-KR"/>
        </w:rPr>
      </w:pPr>
      <w:r w:rsidRPr="000E14A2">
        <w:rPr>
          <w:rFonts w:eastAsiaTheme="minorEastAsia"/>
          <w:lang w:eastAsia="ko-KR"/>
        </w:rPr>
        <w:t>6 months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7D1E1385" w:rsidR="008A4742" w:rsidRPr="00EA35A7" w:rsidRDefault="000E14A2" w:rsidP="000E14A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0E14A2">
        <w:rPr>
          <w:sz w:val="20"/>
        </w:rPr>
        <w:t xml:space="preserve">At least completion of the </w:t>
      </w:r>
      <w:r>
        <w:rPr>
          <w:sz w:val="20"/>
        </w:rPr>
        <w:t xml:space="preserve">first degree </w:t>
      </w:r>
      <w:r w:rsidRPr="000E14A2">
        <w:rPr>
          <w:sz w:val="20"/>
        </w:rPr>
        <w:t>of university in a relevant field (Environmental Science, Climate Change, Agricultural Economics, or similar)</w:t>
      </w:r>
    </w:p>
    <w:p w14:paraId="281E6363" w14:textId="77777777" w:rsidR="008A4742" w:rsidRPr="00EA35A7" w:rsidRDefault="008A4742" w:rsidP="000E14A2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0AB0CD6F" w14:textId="77777777" w:rsidR="000C2FD6" w:rsidRP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EE3B02B" w14:textId="77777777" w:rsidR="000E14A2" w:rsidRPr="00D4606C" w:rsidRDefault="000E14A2" w:rsidP="000E14A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4606C">
        <w:rPr>
          <w:sz w:val="20"/>
        </w:rPr>
        <w:t>Some experience in climate finance, environmental policy, or sustainable agriculture projects would be an asset.</w:t>
      </w:r>
    </w:p>
    <w:p w14:paraId="2FEA59CF" w14:textId="77777777" w:rsidR="000E14A2" w:rsidRPr="00D4606C" w:rsidRDefault="000E14A2" w:rsidP="000E14A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4606C">
        <w:rPr>
          <w:sz w:val="20"/>
        </w:rPr>
        <w:t>Familiarity with IFAD’s climate and environmental mandates, particularly in relation to climate resilience and adaptation.</w:t>
      </w:r>
    </w:p>
    <w:p w14:paraId="694FAD0E" w14:textId="4C841B29" w:rsidR="00D0366F" w:rsidRPr="00D4606C" w:rsidRDefault="000E14A2" w:rsidP="000E14A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4606C">
        <w:rPr>
          <w:sz w:val="20"/>
        </w:rPr>
        <w:t>Experience in data analysis, report writing, and using tools such as Microsoft Office and GIS.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33EB6EF2" w:rsidR="00D0366F" w:rsidRPr="00D4606C" w:rsidRDefault="000E14A2" w:rsidP="00D4606C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4606C">
        <w:rPr>
          <w:sz w:val="20"/>
        </w:rPr>
        <w:t>Fluency in English is required. Knowledge of additional languages spoken in Southern Africa (e.g., French, Portuguese) would be an asset.</w:t>
      </w:r>
    </w:p>
    <w:p w14:paraId="69BE2724" w14:textId="47ADDF7B" w:rsidR="008A4742" w:rsidRPr="00EA35A7" w:rsidRDefault="008A4742" w:rsidP="000E14A2">
      <w:pPr>
        <w:tabs>
          <w:tab w:val="left" w:pos="941"/>
          <w:tab w:val="left" w:pos="942"/>
        </w:tabs>
        <w:spacing w:before="50" w:line="244" w:lineRule="exact"/>
        <w:ind w:left="587"/>
      </w:pP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78FBE2B5" w14:textId="77777777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>Climate Finance Expertise: Understanding of climate change financing mechanisms, international agreements, and donor policies.</w:t>
      </w:r>
    </w:p>
    <w:p w14:paraId="723538FB" w14:textId="77777777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>Environmental and Climate Analysis: Ability to assess environmental risks and opportunities in development projects, particularly related to agriculture.</w:t>
      </w:r>
    </w:p>
    <w:p w14:paraId="7ED7DF81" w14:textId="77777777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>Communication Skills: Strong written and verbal communication skills, with an ability to convey complex information to diverse audiences.</w:t>
      </w:r>
    </w:p>
    <w:p w14:paraId="3AA64E7A" w14:textId="77777777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>Project Management Support: Ability to assist with managing multiple tasks and deadlines in a fast-paced environment.</w:t>
      </w:r>
    </w:p>
    <w:p w14:paraId="59B0A7D6" w14:textId="191D667B" w:rsidR="00D0366F" w:rsidRPr="00EA35A7" w:rsidRDefault="00341DA0" w:rsidP="00D4606C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341DA0">
        <w:rPr>
          <w:sz w:val="20"/>
        </w:rPr>
        <w:t>Adaptability and Flexibility: Ability to adapt to changing work environments and adjust tasks based on evolving priorities.</w:t>
      </w:r>
    </w:p>
    <w:p w14:paraId="02D8E735" w14:textId="29B139BE" w:rsidR="00D0366F" w:rsidRPr="00EA35A7" w:rsidRDefault="00D0366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6CD5113" w14:textId="6B0B04FA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>Teamwork: Ability to work collaboratively in a multicultural team environment.</w:t>
      </w:r>
    </w:p>
    <w:p w14:paraId="2DAC1F4B" w14:textId="1F6E478E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 xml:space="preserve"> Results-oriented: Focus on delivering outputs that support project objectives.</w:t>
      </w:r>
    </w:p>
    <w:p w14:paraId="3F394E79" w14:textId="15E3205F" w:rsidR="00341DA0" w:rsidRPr="00341DA0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 xml:space="preserve"> Innovation and Creativity: Ability to think outside the box and propose creative solutions to environmental and climate challenges.</w:t>
      </w:r>
    </w:p>
    <w:p w14:paraId="38071F8F" w14:textId="3252841C" w:rsidR="008A4742" w:rsidRPr="00EA35A7" w:rsidRDefault="00341DA0" w:rsidP="00341DA0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 w:rsidRPr="00341DA0">
        <w:rPr>
          <w:sz w:val="20"/>
        </w:rPr>
        <w:t xml:space="preserve"> Leadership Potential: Willingness to take initiative and ownership of tasks and responsibilities.</w:t>
      </w:r>
    </w:p>
    <w:p w14:paraId="7BFC2EB8" w14:textId="5A4F08DE" w:rsidR="00D0366F" w:rsidRPr="00EA35A7" w:rsidRDefault="00D0366F" w:rsidP="00341DA0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5A64F" w14:textId="77777777" w:rsidR="001941C0" w:rsidRDefault="001941C0">
      <w:r>
        <w:separator/>
      </w:r>
    </w:p>
  </w:endnote>
  <w:endnote w:type="continuationSeparator" w:id="0">
    <w:p w14:paraId="1B56E6EA" w14:textId="77777777" w:rsidR="001941C0" w:rsidRDefault="0019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B888F" w14:textId="77777777" w:rsidR="001941C0" w:rsidRDefault="001941C0">
      <w:r>
        <w:separator/>
      </w:r>
    </w:p>
  </w:footnote>
  <w:footnote w:type="continuationSeparator" w:id="0">
    <w:p w14:paraId="7F190B6B" w14:textId="77777777" w:rsidR="001941C0" w:rsidRDefault="0019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719476C"/>
    <w:multiLevelType w:val="hybridMultilevel"/>
    <w:tmpl w:val="58D2F036"/>
    <w:lvl w:ilvl="0" w:tplc="249A8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A26178"/>
    <w:multiLevelType w:val="hybridMultilevel"/>
    <w:tmpl w:val="22DCA1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0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81B75E6"/>
    <w:multiLevelType w:val="hybridMultilevel"/>
    <w:tmpl w:val="838293C0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F315E"/>
    <w:multiLevelType w:val="hybridMultilevel"/>
    <w:tmpl w:val="2B74719E"/>
    <w:lvl w:ilvl="0" w:tplc="249A8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1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2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3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4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1"/>
  </w:num>
  <w:num w:numId="5">
    <w:abstractNumId w:val="10"/>
  </w:num>
  <w:num w:numId="6">
    <w:abstractNumId w:val="3"/>
  </w:num>
  <w:num w:numId="7">
    <w:abstractNumId w:val="0"/>
  </w:num>
  <w:num w:numId="8">
    <w:abstractNumId w:val="15"/>
  </w:num>
  <w:num w:numId="9">
    <w:abstractNumId w:val="17"/>
  </w:num>
  <w:num w:numId="10">
    <w:abstractNumId w:val="7"/>
  </w:num>
  <w:num w:numId="11">
    <w:abstractNumId w:val="13"/>
  </w:num>
  <w:num w:numId="12">
    <w:abstractNumId w:val="14"/>
  </w:num>
  <w:num w:numId="13">
    <w:abstractNumId w:val="20"/>
  </w:num>
  <w:num w:numId="14">
    <w:abstractNumId w:val="25"/>
  </w:num>
  <w:num w:numId="15">
    <w:abstractNumId w:val="12"/>
  </w:num>
  <w:num w:numId="16">
    <w:abstractNumId w:val="21"/>
  </w:num>
  <w:num w:numId="17">
    <w:abstractNumId w:val="2"/>
  </w:num>
  <w:num w:numId="18">
    <w:abstractNumId w:val="24"/>
  </w:num>
  <w:num w:numId="19">
    <w:abstractNumId w:val="22"/>
  </w:num>
  <w:num w:numId="20">
    <w:abstractNumId w:val="4"/>
  </w:num>
  <w:num w:numId="21">
    <w:abstractNumId w:val="23"/>
  </w:num>
  <w:num w:numId="22">
    <w:abstractNumId w:val="9"/>
  </w:num>
  <w:num w:numId="23">
    <w:abstractNumId w:val="5"/>
  </w:num>
  <w:num w:numId="24">
    <w:abstractNumId w:val="19"/>
  </w:num>
  <w:num w:numId="25">
    <w:abstractNumId w:val="8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14A2"/>
    <w:rsid w:val="000E2DBD"/>
    <w:rsid w:val="001941C0"/>
    <w:rsid w:val="002137AD"/>
    <w:rsid w:val="0026348E"/>
    <w:rsid w:val="002A29D5"/>
    <w:rsid w:val="002E5878"/>
    <w:rsid w:val="00341DA0"/>
    <w:rsid w:val="003C71D4"/>
    <w:rsid w:val="00404205"/>
    <w:rsid w:val="004A4E31"/>
    <w:rsid w:val="005A310D"/>
    <w:rsid w:val="00676594"/>
    <w:rsid w:val="006D660A"/>
    <w:rsid w:val="00744087"/>
    <w:rsid w:val="007A6ED2"/>
    <w:rsid w:val="008A4742"/>
    <w:rsid w:val="0096242E"/>
    <w:rsid w:val="00A22DA6"/>
    <w:rsid w:val="00AF1551"/>
    <w:rsid w:val="00B019D3"/>
    <w:rsid w:val="00BD7811"/>
    <w:rsid w:val="00C03E15"/>
    <w:rsid w:val="00CB7CAA"/>
    <w:rsid w:val="00D0366F"/>
    <w:rsid w:val="00D11DBF"/>
    <w:rsid w:val="00D42DF6"/>
    <w:rsid w:val="00D4606C"/>
    <w:rsid w:val="00D649C8"/>
    <w:rsid w:val="00DA1D94"/>
    <w:rsid w:val="00DE69A8"/>
    <w:rsid w:val="00E21ADE"/>
    <w:rsid w:val="00EA35A7"/>
    <w:rsid w:val="00F16C98"/>
    <w:rsid w:val="00F328DD"/>
    <w:rsid w:val="00F920D1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Strong">
    <w:name w:val="Strong"/>
    <w:basedOn w:val="DefaultParagraphFont"/>
    <w:uiPriority w:val="22"/>
    <w:qFormat/>
    <w:rsid w:val="0034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Reiner, Claus</cp:lastModifiedBy>
  <cp:revision>2</cp:revision>
  <cp:lastPrinted>2022-10-14T01:34:00Z</cp:lastPrinted>
  <dcterms:created xsi:type="dcterms:W3CDTF">2025-02-25T08:12:00Z</dcterms:created>
  <dcterms:modified xsi:type="dcterms:W3CDTF">2025-02-25T08:12:00Z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