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ind w:firstLine="2883" w:firstLineChars="900"/>
        <w:jc w:val="both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加拿大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多伦多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大学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fldChar w:fldCharType="begin"/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instrText xml:space="preserve"> HYPERLINK "https://www.utoronto.ca/" </w:instrTex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fldChar w:fldCharType="separate"/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>University of Toronto</w:t>
      </w:r>
    </w:p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fldChar w:fldCharType="end"/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7春季学术英语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访学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项目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</w:pP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 xml:space="preserve">   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年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4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日-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25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日（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12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周）</w:t>
      </w:r>
    </w:p>
    <w:p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>
      <w:pPr>
        <w:widowControl/>
        <w:spacing w:line="360" w:lineRule="auto"/>
        <w:ind w:firstLine="420" w:firstLineChars="200"/>
        <w:jc w:val="left"/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多伦多大学（University of Toronto，简称U of T，中文简称“多大”），位于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begin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instrText xml:space="preserve"> HYPERLINK "https://baike.baidu.com/item/%E5%8A%A0%E6%8B%BF%E5%A4%A7/145973?fromModule=lemma_inlink" \t "https://baike.baidu.com/item/%E5%A4%9A%E4%BC%A6%E5%A4%9A%E5%A4%A7%E5%AD%A6/_blank" </w:instrTex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separate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加拿大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end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begin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instrText xml:space="preserve"> HYPERLINK "https://baike.baidu.com/item/%E5%AE%89%E5%A4%A7%E7%95%A5%E7%9C%81/1605870?fromModule=lemma_inlink" \t "https://baike.baidu.com/item/%E5%A4%9A%E4%BC%A6%E5%A4%9A%E5%A4%A7%E5%AD%A6/_blank" </w:instrTex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separate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安大略省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end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begin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instrText xml:space="preserve"> HYPERLINK "https://baike.baidu.com/item/%E5%A4%9A%E4%BC%A6%E5%A4%9A/219549?fromModule=lemma_inlink" \t "https://baike.baidu.com/item/%E5%A4%9A%E4%BC%A6%E5%A4%9A%E5%A4%A7%E5%AD%A6/_blank" </w:instrTex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separate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多伦多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，始建于1827年，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是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加拿大顶尖学府，也是世界范围享有盛誉的公立研究性大学；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2027US NEWS世界大学排名第20位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。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本项目由多伦多大学开设，根据英语测试水平分配至对应级别的班级，与国际学生混班上课，通过主题模块化教学模式学生将在不同主题的探究过程中，循序渐进地提升学术英语综合运用能力与学术研究技能。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2880" cy="2844165"/>
            <wp:effectExtent l="0" t="0" r="444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纯正英语环境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】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亲身前往加拿大体验北美风情和原汁原味的英语文化环境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；</w:t>
      </w:r>
    </w:p>
    <w:p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多个级别适配各种英语水平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入学参加分级测试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根据英语水平分配至适合的级别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小班教学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  <w:lang w:eastAsia="zh-Hans"/>
        </w:rPr>
        <w:t>；</w:t>
      </w:r>
    </w:p>
    <w:p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【体验多元文化，结交国际好友】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与来自世界各地的学生共同学习、提高跨文化沟通技能，收获知识与友谊；</w:t>
      </w:r>
    </w:p>
    <w:p>
      <w:pPr>
        <w:pStyle w:val="10"/>
        <w:keepNext w:val="0"/>
        <w:keepLines w:val="0"/>
        <w:widowControl/>
        <w:numPr>
          <w:ilvl w:val="0"/>
          <w:numId w:val="2"/>
        </w:numPr>
        <w:suppressLineNumbers w:val="0"/>
        <w:autoSpaceDE w:val="0"/>
        <w:autoSpaceDN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【官方学生证】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学生将正式注册在</w:t>
      </w:r>
      <w:r>
        <w:rPr>
          <w:rFonts w:hint="eastAsia" w:cs="宋体"/>
          <w:kern w:val="0"/>
          <w:sz w:val="21"/>
          <w:szCs w:val="21"/>
          <w:lang w:val="en-US" w:eastAsia="zh-CN" w:bidi="ar"/>
        </w:rPr>
        <w:t>多伦多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大学，并获得学生证，使用学校资源；</w:t>
      </w:r>
    </w:p>
    <w:p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【名校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成绩单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】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顺利完成学业后可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多伦多大学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开具的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正式成绩单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为个人简历添砖加瓦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。</w:t>
      </w:r>
    </w:p>
    <w:p>
      <w:pPr>
        <w:pStyle w:val="19"/>
        <w:widowControl/>
        <w:spacing w:line="360" w:lineRule="auto"/>
        <w:ind w:left="840" w:firstLine="0" w:firstLineChars="0"/>
        <w:jc w:val="left"/>
        <w:rPr>
          <w:rFonts w:hint="eastAsia"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多伦多大学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>
      <w:pPr>
        <w:pStyle w:val="19"/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  <w:t>多伦多大学创建于1827年,是北美院校中历史最悠久、国际知名度最高的大学之一。</w:t>
      </w:r>
    </w:p>
    <w:p>
      <w:pPr>
        <w:pStyle w:val="19"/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多伦多大学位列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2027QS世界排名第32名，2027US NEWS世界大学排名第20位，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2026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instrText xml:space="preserve"> HYPERLINK "https://baike.baidu.com/item/%E6%B3%B0%E6%99%A4%E5%A3%AB%E9%AB%98%E7%AD%89%E6%95%99%E8%82%B2%E4%B8%96%E7%95%8C%E5%A4%A7%E5%AD%A6%E6%8E%92%E5%90%8D/4081934?fromModule=lemma_inlink" \t "https://baike.baidu.com/item/%E5%A4%9A%E4%BC%A6%E5%A4%9A%E5%A4%A7%E5%AD%A6/_blank" </w:instrTex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泰晤士高等教育世界大学排名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第21位，202</w:t>
      </w:r>
      <w:r>
        <w:rPr>
          <w:rFonts w:hint="default" w:asciiTheme="minorHAnsi" w:hAnsiTheme="minorHAnsi" w:eastAsiaTheme="majorEastAsia" w:cstheme="minorHAnsi"/>
          <w:kern w:val="0"/>
          <w:sz w:val="21"/>
          <w:szCs w:val="21"/>
          <w:lang w:eastAsia="zh-CN" w:bidi="ar-SA"/>
        </w:rPr>
        <w:t>6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instrText xml:space="preserve"> HYPERLINK "https://baike.baidu.com/item/%E8%BD%AF%E7%A7%91%E4%B8%96%E7%95%8C%E5%A4%A7%E5%AD%A6%E5%AD%A6%E6%9C%AF%E6%8E%92%E5%90%8D/23457593?fromModule=lemma_inlink" \t "https://baike.baidu.com/item/%E5%A4%9A%E4%BC%A6%E5%A4%9A%E5%A4%A7%E5%AD%A6/_blank" </w:instrTex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软科世界大学学术排名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第2</w:t>
      </w:r>
      <w:r>
        <w:rPr>
          <w:rFonts w:hint="default" w:asciiTheme="minorHAnsi" w:hAnsiTheme="minorHAnsi" w:eastAsiaTheme="majorEastAsia" w:cstheme="minorHAnsi"/>
          <w:kern w:val="0"/>
          <w:sz w:val="21"/>
          <w:szCs w:val="21"/>
          <w:lang w:eastAsia="zh-CN" w:bidi="ar-SA"/>
        </w:rPr>
        <w:t>4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位。</w:t>
      </w:r>
    </w:p>
    <w:p>
      <w:pPr>
        <w:widowControl/>
        <w:numPr>
          <w:ilvl w:val="0"/>
          <w:numId w:val="4"/>
        </w:numPr>
        <w:spacing w:line="360" w:lineRule="auto"/>
        <w:ind w:left="420" w:leftChars="0" w:hanging="420" w:firstLineChars="0"/>
        <w:jc w:val="left"/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</w:pP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多伦多大学拥有三个校区：圣乔治校区（UTSG）、密西沙加校区（UTM）和士嘉堡校区（UTSC）。截至2025年秋季，多伦多大学共有学生人数为102,431名； 学校共有18个学术单位，包括16个学院和2所分校； 700多个本科项目和200多个研究生项目，授予文学学士或者理学学士学位。</w:t>
      </w:r>
    </w:p>
    <w:p>
      <w:pPr>
        <w:widowControl/>
        <w:numPr>
          <w:ilvl w:val="0"/>
          <w:numId w:val="0"/>
        </w:numPr>
        <w:spacing w:line="360" w:lineRule="auto"/>
        <w:jc w:val="left"/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>
      <w:pPr>
        <w:spacing w:line="360" w:lineRule="auto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</w:pP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7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年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4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日-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25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日（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12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</w:rPr>
        <w:t>周）</w:t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>
      <w:pPr>
        <w:spacing w:line="360" w:lineRule="auto"/>
        <w:ind w:firstLine="420" w:firstLineChars="0"/>
        <w:rPr>
          <w:rFonts w:cs="Calibri" w:asciiTheme="minorHAnsi" w:hAnsiTheme="minorHAnsi"/>
          <w:szCs w:val="21"/>
          <w:lang w:val="en-US" w:eastAsia="zh-CN"/>
        </w:rPr>
      </w:pPr>
      <w:r>
        <w:rPr>
          <w:rFonts w:cs="Calibri" w:asciiTheme="minorHAnsi" w:hAnsiTheme="minorHAnsi"/>
          <w:szCs w:val="21"/>
          <w:lang w:val="en-US" w:eastAsia="zh-CN"/>
        </w:rPr>
        <w:t>本</w:t>
      </w:r>
      <w:r>
        <w:rPr>
          <w:rFonts w:hint="eastAsia" w:cs="Calibri" w:asciiTheme="minorHAnsi" w:hAnsiTheme="minorHAnsi"/>
          <w:szCs w:val="21"/>
          <w:lang w:val="en-US" w:eastAsia="zh-CN"/>
        </w:rPr>
        <w:t>项目是为期12周的主题学术英语课程，每周一-周五8:30-12:30上课，每周共20小时，课程旨在全面提升学生的英语听说读写能力</w:t>
      </w:r>
      <w:r>
        <w:rPr>
          <w:rFonts w:cs="Calibri" w:asciiTheme="minorHAnsi" w:hAnsiTheme="minorHAnsi"/>
          <w:szCs w:val="21"/>
          <w:lang w:val="en-US" w:eastAsia="zh-CN"/>
        </w:rPr>
        <w:t>，包括</w:t>
      </w:r>
      <w:r>
        <w:rPr>
          <w:rFonts w:hint="eastAsia" w:cs="Calibri" w:asciiTheme="minorHAnsi" w:hAnsiTheme="minorHAnsi"/>
          <w:szCs w:val="21"/>
          <w:lang w:val="en-US" w:eastAsia="zh-CN"/>
        </w:rPr>
        <w:t>提升</w:t>
      </w:r>
      <w:r>
        <w:rPr>
          <w:rFonts w:cs="Calibri" w:asciiTheme="minorHAnsi" w:hAnsiTheme="minorHAnsi"/>
          <w:szCs w:val="21"/>
          <w:lang w:val="en-US" w:eastAsia="zh-CN"/>
        </w:rPr>
        <w:t>学术沟通与演讲技巧、</w:t>
      </w:r>
      <w:r>
        <w:rPr>
          <w:rFonts w:hint="eastAsia" w:cs="Calibri" w:asciiTheme="minorHAnsi" w:hAnsiTheme="minorHAnsi"/>
          <w:szCs w:val="21"/>
          <w:lang w:val="en-US" w:eastAsia="zh-CN"/>
        </w:rPr>
        <w:t>掌握</w:t>
      </w:r>
      <w:r>
        <w:rPr>
          <w:rFonts w:cs="Calibri" w:asciiTheme="minorHAnsi" w:hAnsiTheme="minorHAnsi"/>
          <w:szCs w:val="21"/>
          <w:lang w:val="en-US" w:eastAsia="zh-CN"/>
        </w:rPr>
        <w:t>学术阅读与听力理解策略、学术词汇的拓展与灵活运用、复杂主题下的学术写作方法指导，以及北美高校学术文化的讲解</w:t>
      </w:r>
      <w:r>
        <w:rPr>
          <w:rFonts w:hint="eastAsia" w:cs="Calibri" w:asciiTheme="minorHAnsi" w:hAnsiTheme="minorHAnsi"/>
          <w:szCs w:val="21"/>
          <w:lang w:val="en-US" w:eastAsia="zh-CN"/>
        </w:rPr>
        <w:t>等</w:t>
      </w:r>
      <w:r>
        <w:rPr>
          <w:rFonts w:cs="Calibri" w:asciiTheme="minorHAnsi" w:hAnsiTheme="minorHAnsi"/>
          <w:szCs w:val="21"/>
          <w:lang w:val="en-US" w:eastAsia="zh-CN"/>
        </w:rPr>
        <w:t>，助力</w:t>
      </w:r>
      <w:r>
        <w:rPr>
          <w:rFonts w:hint="eastAsia" w:cs="Calibri" w:asciiTheme="minorHAnsi" w:hAnsiTheme="minorHAnsi"/>
          <w:szCs w:val="21"/>
          <w:lang w:val="en-US" w:eastAsia="zh-CN"/>
        </w:rPr>
        <w:t>学生</w:t>
      </w:r>
      <w:r>
        <w:rPr>
          <w:rFonts w:cs="Calibri" w:asciiTheme="minorHAnsi" w:hAnsiTheme="minorHAnsi"/>
          <w:szCs w:val="21"/>
          <w:lang w:val="en-US" w:eastAsia="zh-CN"/>
        </w:rPr>
        <w:t>从容应对各类学术场景，提升</w:t>
      </w:r>
      <w:r>
        <w:rPr>
          <w:rFonts w:hint="eastAsia" w:cs="Calibri" w:asciiTheme="minorHAnsi" w:hAnsiTheme="minorHAnsi"/>
          <w:szCs w:val="21"/>
          <w:lang w:val="en-US" w:eastAsia="zh-CN"/>
        </w:rPr>
        <w:t>学生的</w:t>
      </w:r>
      <w:r>
        <w:rPr>
          <w:rFonts w:cs="Calibri" w:asciiTheme="minorHAnsi" w:hAnsiTheme="minorHAnsi"/>
          <w:szCs w:val="21"/>
          <w:lang w:val="en-US" w:eastAsia="zh-CN"/>
        </w:rPr>
        <w:t>学术互动与沟通的自信心。</w:t>
      </w:r>
    </w:p>
    <w:p>
      <w:pPr>
        <w:spacing w:line="360" w:lineRule="auto"/>
        <w:ind w:firstLine="420" w:firstLineChars="0"/>
        <w:rPr>
          <w:rFonts w:cs="Calibri" w:asciiTheme="minorHAnsi" w:hAnsiTheme="minorHAnsi"/>
          <w:szCs w:val="21"/>
          <w:lang w:val="en-US" w:eastAsia="zh-CN"/>
        </w:rPr>
      </w:pPr>
      <w:r>
        <w:rPr>
          <w:rFonts w:cs="Calibri" w:asciiTheme="minorHAnsi" w:hAnsiTheme="minorHAnsi"/>
          <w:szCs w:val="21"/>
          <w:lang w:val="en-US" w:eastAsia="zh-CN"/>
        </w:rPr>
        <w:t>课余时间，参加课程的学生还可在</w:t>
      </w:r>
      <w:r>
        <w:rPr>
          <w:rFonts w:hint="eastAsia" w:cs="Calibri" w:asciiTheme="minorHAnsi" w:hAnsiTheme="minorHAnsi"/>
          <w:szCs w:val="21"/>
          <w:lang w:val="en-US" w:eastAsia="zh-CN"/>
        </w:rPr>
        <w:t>学校志愿者</w:t>
      </w:r>
      <w:r>
        <w:rPr>
          <w:rFonts w:cs="Calibri" w:asciiTheme="minorHAnsi" w:hAnsiTheme="minorHAnsi"/>
          <w:szCs w:val="21"/>
          <w:lang w:val="en-US" w:eastAsia="zh-CN"/>
        </w:rPr>
        <w:t>带领下，参加丰富多彩的文化活动，如游览尼亚加拉瀑布、参观博物馆、参加滑冰等体育活动，尽情体验当地文化</w:t>
      </w:r>
      <w:r>
        <w:rPr>
          <w:rFonts w:cs="Calibri" w:asciiTheme="minorHAnsi" w:hAnsiTheme="minorHAnsi"/>
          <w:szCs w:val="21"/>
          <w:lang w:eastAsia="zh-CN"/>
        </w:rPr>
        <w:t>（参考往期，以学校实际安排为准）</w:t>
      </w:r>
      <w:r>
        <w:rPr>
          <w:rFonts w:cs="Calibri" w:asciiTheme="minorHAnsi" w:hAnsiTheme="minorHAnsi"/>
          <w:szCs w:val="21"/>
          <w:lang w:val="en-US" w:eastAsia="zh-CN"/>
        </w:rPr>
        <w:t>。</w:t>
      </w:r>
    </w:p>
    <w:p>
      <w:pPr>
        <w:pStyle w:val="10"/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0" w:firstLine="420" w:firstLineChars="20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pStyle w:val="10"/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leftChars="0" w:right="0" w:firstLine="420" w:firstLineChars="200"/>
        <w:jc w:val="both"/>
        <w:rPr>
          <w:rFonts w:cs="Calibri" w:asciiTheme="minorHAnsi" w:hAnsiTheme="minorHAnsi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参考日程表（以学校实际安排为准）</w:t>
      </w:r>
    </w:p>
    <w:tbl>
      <w:tblPr>
        <w:tblStyle w:val="12"/>
        <w:tblW w:w="49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6"/>
        <w:gridCol w:w="1118"/>
        <w:gridCol w:w="1257"/>
        <w:gridCol w:w="1188"/>
        <w:gridCol w:w="1077"/>
        <w:gridCol w:w="1079"/>
        <w:gridCol w:w="1482"/>
      </w:tblGrid>
      <w:tr>
        <w:tc>
          <w:tcPr>
            <w:tcW w:w="77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</w:p>
        </w:tc>
        <w:tc>
          <w:tcPr>
            <w:tcW w:w="65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周一</w:t>
            </w:r>
          </w:p>
        </w:tc>
        <w:tc>
          <w:tcPr>
            <w:tcW w:w="73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周二</w:t>
            </w:r>
          </w:p>
        </w:tc>
        <w:tc>
          <w:tcPr>
            <w:tcW w:w="69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 xml:space="preserve">   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周三</w:t>
            </w:r>
          </w:p>
        </w:tc>
        <w:tc>
          <w:tcPr>
            <w:tcW w:w="6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周四</w:t>
            </w:r>
          </w:p>
        </w:tc>
        <w:tc>
          <w:tcPr>
            <w:tcW w:w="6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周五</w:t>
            </w:r>
          </w:p>
        </w:tc>
        <w:tc>
          <w:tcPr>
            <w:tcW w:w="8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周末</w:t>
            </w:r>
          </w:p>
        </w:tc>
      </w:tr>
      <w:tr>
        <w:tc>
          <w:tcPr>
            <w:tcW w:w="77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>8:30-12:30</w:t>
            </w:r>
          </w:p>
        </w:tc>
        <w:tc>
          <w:tcPr>
            <w:tcW w:w="65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核心课程</w:t>
            </w:r>
          </w:p>
        </w:tc>
        <w:tc>
          <w:tcPr>
            <w:tcW w:w="738" w:type="pct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核心课程</w:t>
            </w:r>
          </w:p>
        </w:tc>
        <w:tc>
          <w:tcPr>
            <w:tcW w:w="69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核心课程</w:t>
            </w:r>
          </w:p>
        </w:tc>
        <w:tc>
          <w:tcPr>
            <w:tcW w:w="6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核心课程</w:t>
            </w:r>
          </w:p>
        </w:tc>
        <w:tc>
          <w:tcPr>
            <w:tcW w:w="63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核心课程</w:t>
            </w:r>
          </w:p>
        </w:tc>
        <w:tc>
          <w:tcPr>
            <w:tcW w:w="870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参加学校组织的参访活动或自由探索</w:t>
            </w:r>
          </w:p>
        </w:tc>
      </w:tr>
      <w:tr>
        <w:tc>
          <w:tcPr>
            <w:tcW w:w="77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下午</w:t>
            </w:r>
          </w:p>
        </w:tc>
        <w:tc>
          <w:tcPr>
            <w:tcW w:w="335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pStyle w:val="22"/>
              <w:widowControl/>
              <w:spacing w:line="360" w:lineRule="auto"/>
              <w:ind w:left="0" w:leftChars="0" w:firstLine="0" w:firstLineChars="0"/>
              <w:jc w:val="left"/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可自愿参加学校安排的体育</w:t>
            </w: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>/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文化</w:t>
            </w:r>
            <w:r>
              <w:rPr>
                <w:rFonts w:hint="default" w:ascii="Calibri" w:hAnsi="Calibri" w:eastAsia="宋体" w:cs="Calibri"/>
                <w:kern w:val="0"/>
                <w:sz w:val="21"/>
                <w:szCs w:val="21"/>
              </w:rPr>
              <w:t>/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社交活动</w:t>
            </w:r>
          </w:p>
        </w:tc>
        <w:tc>
          <w:tcPr>
            <w:tcW w:w="870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Times New Roman" w:hAnsi="Times New Roman" w:cs="Times New Roman"/>
                <w:sz w:val="20"/>
                <w:szCs w:val="20"/>
              </w:rPr>
            </w:pPr>
          </w:p>
        </w:tc>
      </w:tr>
    </w:tbl>
    <w:p>
      <w:pPr>
        <w:spacing w:line="360" w:lineRule="auto"/>
        <w:ind w:firstLine="420" w:firstLineChars="0"/>
        <w:rPr>
          <w:rFonts w:cs="Calibri" w:asciiTheme="minorHAnsi" w:hAnsiTheme="minorHAnsi"/>
          <w:szCs w:val="21"/>
          <w:lang w:val="en-US" w:eastAsia="zh-CN"/>
        </w:rPr>
      </w:pPr>
    </w:p>
    <w:p>
      <w:pPr>
        <w:spacing w:line="360" w:lineRule="auto"/>
        <w:jc w:val="center"/>
      </w:pPr>
      <w:r>
        <w:drawing>
          <wp:inline distT="0" distB="0" distL="114300" distR="114300">
            <wp:extent cx="4549775" cy="2954020"/>
            <wp:effectExtent l="0" t="0" r="3175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9775" cy="295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cs="Calibri" w:asciiTheme="minorHAnsi" w:hAnsiTheme="minorHAnsi"/>
          <w:szCs w:val="21"/>
        </w:rPr>
      </w:pPr>
    </w:p>
    <w:p>
      <w:pPr>
        <w:spacing w:line="360" w:lineRule="auto"/>
        <w:rPr>
          <w:rFonts w:cs="Calibri" w:asciiTheme="minorHAnsi" w:hAnsiTheme="minorHAnsi"/>
          <w:szCs w:val="21"/>
        </w:rPr>
      </w:pP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ind w:firstLine="420" w:firstLineChars="200"/>
        <w:jc w:val="left"/>
        <w:rPr>
          <w:rFonts w:asciiTheme="minorHAnsi" w:hAnsiTheme="minorHAnsi" w:eastAsiaTheme="majorEastAsia" w:cstheme="minorHAnsi"/>
          <w:szCs w:val="21"/>
          <w:highlight w:val="none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多伦多大学访学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项目</w:t>
      </w:r>
      <w:r>
        <w:rPr>
          <w:rFonts w:hint="eastAsia" w:asciiTheme="minorHAnsi" w:hAnsiTheme="minorHAnsi" w:eastAsiaTheme="majorEastAsia" w:cstheme="minorHAnsi"/>
          <w:szCs w:val="21"/>
        </w:rPr>
        <w:t>的学生将由</w:t>
      </w:r>
      <w:r>
        <w:rPr>
          <w:rFonts w:hint="eastAsia" w:ascii="Calibri" w:hAnsi="Calibri" w:cs="Calibri" w:eastAsiaTheme="majorEastAsia"/>
          <w:szCs w:val="21"/>
          <w:lang w:val="en-US" w:eastAsia="zh-CN"/>
        </w:rPr>
        <w:t>多伦多大学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szCs w:val="21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多伦多大学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出具的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正式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成绩单</w:t>
      </w:r>
      <w:r>
        <w:rPr>
          <w:rFonts w:hint="eastAsia" w:asciiTheme="minorHAnsi" w:hAnsiTheme="minorHAnsi" w:eastAsiaTheme="majorEastAsia" w:cstheme="minorHAnsi"/>
          <w:szCs w:val="21"/>
          <w:highlight w:val="none"/>
        </w:rPr>
        <w:t>。</w:t>
      </w:r>
    </w:p>
    <w:p>
      <w:pPr>
        <w:widowControl/>
        <w:spacing w:line="360" w:lineRule="auto"/>
        <w:jc w:val="center"/>
        <w:rPr>
          <w:sz w:val="18"/>
          <w:szCs w:val="21"/>
        </w:rPr>
      </w:pPr>
      <w:r>
        <w:drawing>
          <wp:inline distT="0" distB="0" distL="114300" distR="114300">
            <wp:extent cx="1288415" cy="1793240"/>
            <wp:effectExtent l="0" t="0" r="6985" b="698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8415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cs="Calibri" w:asciiTheme="minorHAnsi" w:hAnsiTheme="minorHAnsi"/>
          <w:szCs w:val="21"/>
          <w:highlight w:val="none"/>
        </w:rPr>
      </w:pPr>
      <w:r>
        <w:rPr>
          <w:sz w:val="18"/>
          <w:szCs w:val="21"/>
        </w:rPr>
        <w:t>（成绩单样本）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>
        <w:trPr>
          <w:trHeight w:val="477" w:hRule="atLeast"/>
        </w:trPr>
        <w:tc>
          <w:tcPr>
            <w:tcW w:w="1977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8445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加元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，约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4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万元</w:t>
            </w:r>
          </w:p>
        </w:tc>
      </w:tr>
      <w:tr>
        <w:tc>
          <w:tcPr>
            <w:tcW w:w="1977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Theme="minorHAnsi" w:hAnsiTheme="minorHAnsi" w:eastAsiaTheme="majorEastAsia" w:cstheme="minorHAnsi"/>
                <w:szCs w:val="21"/>
                <w:lang w:eastAsia="zh-CN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</w:rPr>
              <w:t>学费、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服务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、海外保险、落地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、行前培训</w:t>
            </w:r>
          </w:p>
        </w:tc>
      </w:tr>
      <w:tr>
        <w:tc>
          <w:tcPr>
            <w:tcW w:w="1977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往返机票及交通及其他个人消费</w:t>
            </w:r>
          </w:p>
        </w:tc>
      </w:tr>
    </w:tbl>
    <w:p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项目申请截止日期：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11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 xml:space="preserve"> 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具有良好的英语水平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入学参加分班测试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；</w:t>
      </w:r>
    </w:p>
    <w:p>
      <w:pPr>
        <w:pStyle w:val="19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3、项目申请录取方式和报名流程</w:t>
      </w:r>
    </w:p>
    <w:p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学生本人提出申请，在学校国际合作交流处（外事处）报名；</w:t>
      </w:r>
    </w:p>
    <w:p>
      <w:pPr>
        <w:pStyle w:val="19"/>
        <w:numPr>
          <w:ilvl w:val="0"/>
          <w:numId w:val="0"/>
        </w:numPr>
        <w:spacing w:line="360" w:lineRule="auto"/>
        <w:ind w:left="210" w:leftChars="0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2）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学生需通过https://ks.wjx.com/vm/P8VYpcv.aspx或扫描下方二维码填写《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7冬春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>
      <w:pPr>
        <w:pStyle w:val="19"/>
        <w:numPr>
          <w:ilvl w:val="0"/>
          <w:numId w:val="0"/>
        </w:numPr>
        <w:spacing w:line="360" w:lineRule="auto"/>
        <w:ind w:left="210" w:leftChars="0"/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</w:t>
      </w:r>
      <w:r>
        <w:drawing>
          <wp:inline distT="0" distB="0" distL="114300" distR="114300">
            <wp:extent cx="1536065" cy="1567815"/>
            <wp:effectExtent l="0" t="0" r="6985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36065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0"/>
        </w:numPr>
        <w:spacing w:line="360" w:lineRule="auto"/>
        <w:ind w:left="210" w:leftChars="0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3）</w:t>
      </w: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学生申请资料经初步审核后，参加面试确定预录取名单；</w:t>
      </w:r>
    </w:p>
    <w:p>
      <w:pPr>
        <w:pStyle w:val="19"/>
        <w:numPr>
          <w:ilvl w:val="0"/>
          <w:numId w:val="0"/>
        </w:numPr>
        <w:spacing w:line="360" w:lineRule="auto"/>
        <w:ind w:left="210" w:leftChars="0"/>
        <w:jc w:val="left"/>
        <w:rPr>
          <w:rFonts w:hint="default" w:ascii="Calibri" w:hAnsi="Calibri" w:cs="Calibri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kern w:val="0"/>
          <w:szCs w:val="21"/>
          <w:lang w:val="en-US" w:eastAsia="zh-CN"/>
        </w:rPr>
        <w:t>4）项目咨询：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谢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 xml:space="preserve">老师 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15158033477</w:t>
      </w:r>
      <w:bookmarkStart w:id="0" w:name="_GoBack"/>
      <w:bookmarkEnd w:id="0"/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（微信同号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>）</w:t>
      </w: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A073A4"/>
    <w:multiLevelType w:val="singleLevel"/>
    <w:tmpl w:val="1CA073A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1B9EDAA"/>
    <w:multiLevelType w:val="singleLevel"/>
    <w:tmpl w:val="51B9EDAA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5B424116"/>
    <w:multiLevelType w:val="multilevel"/>
    <w:tmpl w:val="5B424116"/>
    <w:lvl w:ilvl="0" w:tentative="0">
      <w:start w:val="1"/>
      <w:numFmt w:val="bullet"/>
      <w:lvlText w:val=""/>
      <w:lvlJc w:val="left"/>
      <w:pPr>
        <w:tabs>
          <w:tab w:val="left" w:pos="0"/>
        </w:tabs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hint="default" w:ascii="Wingdings" w:hAnsi="Wingdings" w:cs="Wingdings"/>
      </w:rPr>
    </w:lvl>
  </w:abstractNum>
  <w:abstractNum w:abstractNumId="4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5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6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3DC024C"/>
    <w:rsid w:val="0C402847"/>
    <w:rsid w:val="0FAF76A8"/>
    <w:rsid w:val="10E204D1"/>
    <w:rsid w:val="117E90B9"/>
    <w:rsid w:val="136506D1"/>
    <w:rsid w:val="1542235D"/>
    <w:rsid w:val="17BDD132"/>
    <w:rsid w:val="1B9F3AB2"/>
    <w:rsid w:val="1BF59454"/>
    <w:rsid w:val="1F7F94E0"/>
    <w:rsid w:val="1FEB5934"/>
    <w:rsid w:val="2154601D"/>
    <w:rsid w:val="25073205"/>
    <w:rsid w:val="254F3F9A"/>
    <w:rsid w:val="25785DA9"/>
    <w:rsid w:val="278B188D"/>
    <w:rsid w:val="2B9056E6"/>
    <w:rsid w:val="2BDFB16F"/>
    <w:rsid w:val="2E044CA6"/>
    <w:rsid w:val="32F469A7"/>
    <w:rsid w:val="35FB3456"/>
    <w:rsid w:val="3697705D"/>
    <w:rsid w:val="370C2528"/>
    <w:rsid w:val="37F5E4E4"/>
    <w:rsid w:val="38211DDE"/>
    <w:rsid w:val="39DF87A7"/>
    <w:rsid w:val="3A7E5A91"/>
    <w:rsid w:val="3AF676C9"/>
    <w:rsid w:val="3B7EAE16"/>
    <w:rsid w:val="3DCF47E9"/>
    <w:rsid w:val="3DFF51FA"/>
    <w:rsid w:val="3F7BBA48"/>
    <w:rsid w:val="3FF5CE66"/>
    <w:rsid w:val="3FF665CF"/>
    <w:rsid w:val="3FFEB891"/>
    <w:rsid w:val="41D36158"/>
    <w:rsid w:val="435F1080"/>
    <w:rsid w:val="43FB1032"/>
    <w:rsid w:val="44AE1DF8"/>
    <w:rsid w:val="460240D4"/>
    <w:rsid w:val="4663199C"/>
    <w:rsid w:val="478EAE94"/>
    <w:rsid w:val="47CD6987"/>
    <w:rsid w:val="49303187"/>
    <w:rsid w:val="4C2004D9"/>
    <w:rsid w:val="4DFDE066"/>
    <w:rsid w:val="4F2204BE"/>
    <w:rsid w:val="4FA41450"/>
    <w:rsid w:val="4FF7BB32"/>
    <w:rsid w:val="51C30BE7"/>
    <w:rsid w:val="54420BCB"/>
    <w:rsid w:val="54835F6E"/>
    <w:rsid w:val="54FA47A3"/>
    <w:rsid w:val="55D77A56"/>
    <w:rsid w:val="56E95ED2"/>
    <w:rsid w:val="572D6D23"/>
    <w:rsid w:val="594B68B1"/>
    <w:rsid w:val="5A913141"/>
    <w:rsid w:val="5AFD6664"/>
    <w:rsid w:val="5AFF9585"/>
    <w:rsid w:val="5D940EFE"/>
    <w:rsid w:val="5E3A3F05"/>
    <w:rsid w:val="5EF2F75C"/>
    <w:rsid w:val="5F5FC462"/>
    <w:rsid w:val="5FFECC3B"/>
    <w:rsid w:val="64593A33"/>
    <w:rsid w:val="67734682"/>
    <w:rsid w:val="67CBA8C1"/>
    <w:rsid w:val="6A214EAA"/>
    <w:rsid w:val="6A9B4AFD"/>
    <w:rsid w:val="6C3F26B0"/>
    <w:rsid w:val="6CFA7C67"/>
    <w:rsid w:val="6EBFDBDB"/>
    <w:rsid w:val="6FFEC120"/>
    <w:rsid w:val="70BB39CB"/>
    <w:rsid w:val="749D18B7"/>
    <w:rsid w:val="76E71A1A"/>
    <w:rsid w:val="77B45F56"/>
    <w:rsid w:val="77CA6341"/>
    <w:rsid w:val="77FB67F2"/>
    <w:rsid w:val="77FEE976"/>
    <w:rsid w:val="7AF4F873"/>
    <w:rsid w:val="7B7F75E5"/>
    <w:rsid w:val="7BCF7770"/>
    <w:rsid w:val="7C016BE2"/>
    <w:rsid w:val="7CF7035B"/>
    <w:rsid w:val="7CFC7BC6"/>
    <w:rsid w:val="7DEC67B0"/>
    <w:rsid w:val="7DEF91D4"/>
    <w:rsid w:val="7E9E359C"/>
    <w:rsid w:val="7F124915"/>
    <w:rsid w:val="7F37E07D"/>
    <w:rsid w:val="7F75CB9D"/>
    <w:rsid w:val="7FB5A911"/>
    <w:rsid w:val="7FC9A1A5"/>
    <w:rsid w:val="7FCE9847"/>
    <w:rsid w:val="7FCFD550"/>
    <w:rsid w:val="7FDDD866"/>
    <w:rsid w:val="86EE020B"/>
    <w:rsid w:val="9FBF1976"/>
    <w:rsid w:val="9FDFC10B"/>
    <w:rsid w:val="9FE746B9"/>
    <w:rsid w:val="AFAF8361"/>
    <w:rsid w:val="BAFC03F6"/>
    <w:rsid w:val="BDEFD7C0"/>
    <w:rsid w:val="BF6BB2B7"/>
    <w:rsid w:val="BFDB831A"/>
    <w:rsid w:val="C7FE4904"/>
    <w:rsid w:val="C9EF449F"/>
    <w:rsid w:val="D57704FC"/>
    <w:rsid w:val="D7BF5363"/>
    <w:rsid w:val="DA972848"/>
    <w:rsid w:val="DBBAF97E"/>
    <w:rsid w:val="DFA74B8B"/>
    <w:rsid w:val="DFB69201"/>
    <w:rsid w:val="E26B75AD"/>
    <w:rsid w:val="E37FC32C"/>
    <w:rsid w:val="EBFEF8B6"/>
    <w:rsid w:val="EC6C0961"/>
    <w:rsid w:val="EEFF8988"/>
    <w:rsid w:val="F35F0936"/>
    <w:rsid w:val="F7ABEE45"/>
    <w:rsid w:val="F7DE97C6"/>
    <w:rsid w:val="F8FD7419"/>
    <w:rsid w:val="F9B7A2D3"/>
    <w:rsid w:val="F9DD11CB"/>
    <w:rsid w:val="FA9A0108"/>
    <w:rsid w:val="FBC66CA8"/>
    <w:rsid w:val="FBFFECDA"/>
    <w:rsid w:val="FD0FFA3C"/>
    <w:rsid w:val="FDBF49CE"/>
    <w:rsid w:val="FDFE359B"/>
    <w:rsid w:val="FFBFDD7E"/>
    <w:rsid w:val="FFDB6A7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default" w:ascii="Times New Roman" w:hAnsi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  <w:style w:type="paragraph" w:customStyle="1" w:styleId="22">
    <w:name w:val="List Paragraph1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 w:firstLineChars="200"/>
      <w:jc w:val="both"/>
    </w:pPr>
    <w:rPr>
      <w:rFonts w:hint="default" w:ascii="Times New Roman" w:hAnsi="Times New Roman" w:eastAsia="宋体" w:cs="Times New Roman"/>
      <w:kern w:val="2"/>
      <w:sz w:val="21"/>
      <w:szCs w:val="21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1362</Words>
  <Characters>1542</Characters>
  <Lines>1</Lines>
  <Paragraphs>1</Paragraphs>
  <TotalTime>0</TotalTime>
  <ScaleCrop>false</ScaleCrop>
  <LinksUpToDate>false</LinksUpToDate>
  <CharactersWithSpaces>1569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2020-05-09T21:27:00Z</dcterms:created>
  <dc:creator>全美国际教育协会</dc:creator>
  <cp:lastModifiedBy>Sophia谢绍群</cp:lastModifiedBy>
  <cp:lastPrinted>2012-01-02T16:54:00Z</cp:lastPrinted>
  <dcterms:modified xsi:type="dcterms:W3CDTF">2026-09-04T13:17:08Z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69B2F2D04C75B9D299056A69204CC087_43</vt:lpwstr>
  </property>
  <property fmtid="{D5CDD505-2E9C-101B-9397-08002B2CF9AE}" pid="4" name="KSOTemplateDocerSaveRecord">
    <vt:lpwstr>eyJoZGlkIjoiZjFmZWIzNDg2MmIzZjExOTIzMmViNTBmYTMwYTk0ZWYiLCJ1c2VySWQiOiIxMzUyNjM0NDY3In0=</vt:lpwstr>
  </property>
</Properties>
</file>